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rPr>
      </w:pPr>
    </w:p>
    <w:p>
      <w:pPr>
        <w:rPr>
          <w:sz w:val="32"/>
        </w:rPr>
      </w:pPr>
    </w:p>
    <w:p>
      <w:pPr>
        <w:rPr>
          <w:sz w:val="32"/>
        </w:rPr>
      </w:pPr>
    </w:p>
    <w:p>
      <w:pPr>
        <w:rPr>
          <w:sz w:val="32"/>
        </w:rPr>
      </w:pPr>
    </w:p>
    <w:p>
      <w:pPr>
        <w:autoSpaceDE w:val="0"/>
        <w:autoSpaceDN w:val="0"/>
        <w:adjustRightInd w:val="0"/>
        <w:ind w:firstLine="720"/>
        <w:jc w:val="center"/>
        <w:rPr>
          <w:rFonts w:hint="eastAsia" w:ascii="华文楷体" w:eastAsia="华文楷体" w:cs="华文楷体"/>
          <w:color w:val="FF0000"/>
          <w:kern w:val="0"/>
          <w:sz w:val="36"/>
          <w:szCs w:val="36"/>
        </w:rPr>
      </w:pPr>
    </w:p>
    <w:p>
      <w:pPr>
        <w:autoSpaceDE w:val="0"/>
        <w:autoSpaceDN w:val="0"/>
        <w:adjustRightInd w:val="0"/>
        <w:spacing w:line="360" w:lineRule="auto"/>
        <w:ind w:firstLine="0" w:firstLineChars="0"/>
        <w:jc w:val="center"/>
        <w:rPr>
          <w:rFonts w:ascii="黑体" w:hAnsi="宋体" w:eastAsia="黑体"/>
          <w:kern w:val="0"/>
          <w:sz w:val="36"/>
          <w:szCs w:val="36"/>
        </w:rPr>
      </w:pPr>
      <w:r>
        <w:rPr>
          <w:rFonts w:hint="eastAsia" w:ascii="黑体" w:hAnsi="宋体" w:eastAsia="黑体"/>
          <w:kern w:val="0"/>
          <w:sz w:val="36"/>
          <w:szCs w:val="36"/>
        </w:rPr>
        <w:t>中华人民共和国农业行业标准</w:t>
      </w:r>
    </w:p>
    <w:p>
      <w:pPr>
        <w:autoSpaceDE w:val="0"/>
        <w:autoSpaceDN w:val="0"/>
        <w:adjustRightInd w:val="0"/>
        <w:ind w:firstLine="0" w:firstLineChars="0"/>
        <w:jc w:val="center"/>
        <w:rPr>
          <w:rFonts w:ascii="宋体" w:cs="宋体"/>
          <w:kern w:val="0"/>
          <w:sz w:val="44"/>
          <w:szCs w:val="44"/>
        </w:rPr>
      </w:pPr>
    </w:p>
    <w:p>
      <w:pPr>
        <w:autoSpaceDE w:val="0"/>
        <w:autoSpaceDN w:val="0"/>
        <w:adjustRightInd w:val="0"/>
        <w:ind w:firstLine="0" w:firstLineChars="0"/>
        <w:jc w:val="center"/>
        <w:rPr>
          <w:rFonts w:ascii="宋体" w:cs="宋体"/>
          <w:kern w:val="0"/>
          <w:sz w:val="44"/>
          <w:szCs w:val="44"/>
        </w:rPr>
      </w:pPr>
    </w:p>
    <w:p>
      <w:pPr>
        <w:adjustRightInd w:val="0"/>
        <w:spacing w:before="0" w:beforeAutospacing="0" w:line="360" w:lineRule="auto"/>
        <w:ind w:firstLine="0" w:firstLineChars="0"/>
        <w:jc w:val="center"/>
        <w:rPr>
          <w:rFonts w:eastAsia="黑体"/>
          <w:sz w:val="36"/>
          <w:szCs w:val="36"/>
        </w:rPr>
      </w:pPr>
      <w:r>
        <w:rPr>
          <w:rFonts w:hint="eastAsia" w:ascii="Times New Roman" w:hAnsi="Times New Roman" w:eastAsia="黑体" w:cs="Times New Roman"/>
          <w:sz w:val="36"/>
          <w:szCs w:val="36"/>
          <w:lang w:val="en-US" w:eastAsia="zh-CN"/>
        </w:rPr>
        <w:t>农业建设项目可行性研究报告编制规程</w:t>
      </w:r>
    </w:p>
    <w:p>
      <w:pPr>
        <w:pStyle w:val="57"/>
        <w:spacing w:line="380" w:lineRule="exact"/>
        <w:jc w:val="center"/>
        <w:outlineLvl w:val="0"/>
        <w:rPr>
          <w:rFonts w:hint="eastAsia" w:ascii="黑体" w:hAnsi="Times New Roman" w:eastAsia="黑体" w:cs="Times New Roman"/>
          <w:b/>
          <w:bCs/>
          <w:kern w:val="0"/>
          <w:sz w:val="28"/>
          <w:szCs w:val="18"/>
          <w:lang w:val="en-US" w:eastAsia="zh-CN"/>
        </w:rPr>
      </w:pPr>
      <w:r>
        <w:rPr>
          <w:rFonts w:hint="eastAsia" w:ascii="黑体" w:eastAsia="黑体"/>
          <w:b/>
          <w:bCs/>
          <w:sz w:val="28"/>
          <w:szCs w:val="18"/>
        </w:rPr>
        <w:t>C</w:t>
      </w:r>
      <w:r>
        <w:rPr>
          <w:rFonts w:hint="eastAsia" w:ascii="黑体" w:hAnsi="Times New Roman" w:eastAsia="黑体" w:cs="Times New Roman"/>
          <w:b/>
          <w:bCs/>
          <w:kern w:val="0"/>
          <w:sz w:val="28"/>
          <w:szCs w:val="18"/>
          <w:lang w:val="en-US" w:eastAsia="zh-CN"/>
        </w:rPr>
        <w:t>ode</w:t>
      </w:r>
      <w:r>
        <w:rPr>
          <w:rFonts w:hint="eastAsia" w:ascii="黑体" w:eastAsia="黑体" w:cs="Times New Roman"/>
          <w:b/>
          <w:bCs/>
          <w:kern w:val="0"/>
          <w:sz w:val="28"/>
          <w:szCs w:val="18"/>
          <w:lang w:val="en-US" w:eastAsia="zh-CN"/>
        </w:rPr>
        <w:t xml:space="preserve"> </w:t>
      </w:r>
      <w:r>
        <w:rPr>
          <w:rFonts w:hint="eastAsia" w:ascii="黑体" w:hAnsi="Times New Roman" w:eastAsia="黑体" w:cs="Times New Roman"/>
          <w:b/>
          <w:bCs/>
          <w:kern w:val="0"/>
          <w:sz w:val="28"/>
          <w:szCs w:val="18"/>
          <w:lang w:val="en-US" w:eastAsia="zh-CN"/>
        </w:rPr>
        <w:t>for compiling feasibility study report of agricultural</w:t>
      </w:r>
    </w:p>
    <w:p>
      <w:pPr>
        <w:autoSpaceDE w:val="0"/>
        <w:autoSpaceDN w:val="0"/>
        <w:adjustRightInd w:val="0"/>
        <w:spacing w:line="360" w:lineRule="auto"/>
        <w:ind w:firstLine="0" w:firstLineChars="0"/>
        <w:jc w:val="center"/>
        <w:rPr>
          <w:rFonts w:hint="eastAsia" w:ascii="黑体" w:hAnsi="Times New Roman" w:eastAsia="黑体" w:cs="Times New Roman"/>
          <w:b/>
          <w:bCs/>
          <w:kern w:val="0"/>
          <w:sz w:val="28"/>
          <w:szCs w:val="18"/>
          <w:lang w:val="en-US" w:eastAsia="zh-CN"/>
        </w:rPr>
      </w:pPr>
      <w:r>
        <w:rPr>
          <w:rFonts w:hint="eastAsia" w:ascii="黑体" w:hAnsi="Times New Roman" w:eastAsia="黑体" w:cs="Times New Roman"/>
          <w:b/>
          <w:bCs/>
          <w:kern w:val="0"/>
          <w:sz w:val="28"/>
          <w:szCs w:val="18"/>
          <w:lang w:val="en-US" w:eastAsia="zh-CN"/>
        </w:rPr>
        <w:t>construction project</w:t>
      </w:r>
    </w:p>
    <w:p>
      <w:pPr>
        <w:autoSpaceDE w:val="0"/>
        <w:autoSpaceDN w:val="0"/>
        <w:adjustRightInd w:val="0"/>
        <w:spacing w:line="360" w:lineRule="auto"/>
        <w:ind w:firstLine="0" w:firstLineChars="0"/>
        <w:jc w:val="center"/>
        <w:rPr>
          <w:rFonts w:eastAsia="黑体"/>
          <w:sz w:val="30"/>
          <w:szCs w:val="30"/>
        </w:rPr>
      </w:pPr>
      <w:r>
        <w:rPr>
          <w:rFonts w:hint="eastAsia"/>
          <w:b/>
          <w:bCs/>
          <w:sz w:val="28"/>
          <w:szCs w:val="18"/>
        </w:rPr>
        <w:t>（</w:t>
      </w:r>
      <w:r>
        <w:rPr>
          <w:rFonts w:hint="eastAsia"/>
          <w:b/>
          <w:bCs/>
          <w:sz w:val="28"/>
          <w:szCs w:val="18"/>
          <w:lang w:eastAsia="zh-CN"/>
        </w:rPr>
        <w:t>征求意见</w:t>
      </w:r>
      <w:r>
        <w:rPr>
          <w:rFonts w:hint="eastAsia"/>
          <w:b/>
          <w:bCs/>
          <w:sz w:val="28"/>
          <w:szCs w:val="18"/>
        </w:rPr>
        <w:t>稿）</w:t>
      </w:r>
    </w:p>
    <w:p>
      <w:pPr>
        <w:autoSpaceDE w:val="0"/>
        <w:autoSpaceDN w:val="0"/>
        <w:adjustRightInd w:val="0"/>
        <w:spacing w:line="360" w:lineRule="auto"/>
        <w:ind w:firstLine="0" w:firstLineChars="0"/>
        <w:jc w:val="center"/>
        <w:rPr>
          <w:rFonts w:eastAsia="黑体"/>
          <w:b/>
          <w:sz w:val="30"/>
          <w:szCs w:val="30"/>
        </w:rPr>
      </w:pPr>
    </w:p>
    <w:p>
      <w:pPr>
        <w:pStyle w:val="2"/>
        <w:rPr>
          <w:rFonts w:eastAsia="黑体"/>
          <w:b/>
          <w:sz w:val="30"/>
          <w:szCs w:val="30"/>
        </w:rPr>
      </w:pPr>
    </w:p>
    <w:p>
      <w:pPr>
        <w:pStyle w:val="2"/>
        <w:rPr>
          <w:rFonts w:eastAsia="黑体"/>
          <w:b/>
          <w:sz w:val="30"/>
          <w:szCs w:val="30"/>
        </w:rPr>
      </w:pPr>
    </w:p>
    <w:p>
      <w:pPr>
        <w:pStyle w:val="2"/>
        <w:rPr>
          <w:rFonts w:eastAsia="黑体"/>
          <w:b/>
          <w:sz w:val="30"/>
          <w:szCs w:val="30"/>
        </w:rPr>
      </w:pPr>
    </w:p>
    <w:p>
      <w:pPr>
        <w:pStyle w:val="2"/>
        <w:rPr>
          <w:rFonts w:eastAsia="黑体"/>
          <w:b/>
          <w:sz w:val="30"/>
          <w:szCs w:val="30"/>
        </w:rPr>
      </w:pPr>
    </w:p>
    <w:p>
      <w:pPr>
        <w:autoSpaceDE w:val="0"/>
        <w:autoSpaceDN w:val="0"/>
        <w:adjustRightInd w:val="0"/>
        <w:spacing w:line="360" w:lineRule="auto"/>
        <w:ind w:firstLine="0" w:firstLineChars="0"/>
        <w:jc w:val="center"/>
        <w:rPr>
          <w:rFonts w:eastAsia="黑体"/>
          <w:b/>
          <w:sz w:val="30"/>
          <w:szCs w:val="30"/>
        </w:rPr>
      </w:pPr>
    </w:p>
    <w:p>
      <w:pPr>
        <w:autoSpaceDE w:val="0"/>
        <w:autoSpaceDN w:val="0"/>
        <w:adjustRightInd w:val="0"/>
        <w:spacing w:line="360" w:lineRule="auto"/>
        <w:ind w:firstLine="0" w:firstLineChars="0"/>
        <w:jc w:val="center"/>
        <w:rPr>
          <w:rFonts w:eastAsia="黑体"/>
          <w:b/>
          <w:sz w:val="44"/>
          <w:szCs w:val="44"/>
        </w:rPr>
      </w:pPr>
      <w:r>
        <w:rPr>
          <w:rFonts w:hint="eastAsia" w:eastAsia="黑体"/>
          <w:b/>
          <w:sz w:val="44"/>
          <w:szCs w:val="44"/>
        </w:rPr>
        <w:t>编  写  说  明</w:t>
      </w:r>
    </w:p>
    <w:p>
      <w:pPr>
        <w:autoSpaceDE w:val="0"/>
        <w:autoSpaceDN w:val="0"/>
        <w:adjustRightInd w:val="0"/>
        <w:spacing w:line="360" w:lineRule="auto"/>
        <w:ind w:firstLine="0" w:firstLineChars="0"/>
        <w:jc w:val="center"/>
        <w:rPr>
          <w:rFonts w:eastAsia="黑体"/>
          <w:b/>
          <w:sz w:val="30"/>
          <w:szCs w:val="30"/>
        </w:rPr>
      </w:pPr>
    </w:p>
    <w:p>
      <w:pPr>
        <w:autoSpaceDE w:val="0"/>
        <w:autoSpaceDN w:val="0"/>
        <w:adjustRightInd w:val="0"/>
        <w:spacing w:line="360" w:lineRule="auto"/>
        <w:ind w:firstLine="0" w:firstLineChars="0"/>
        <w:jc w:val="center"/>
        <w:rPr>
          <w:rFonts w:eastAsia="黑体"/>
          <w:b/>
          <w:sz w:val="30"/>
          <w:szCs w:val="30"/>
        </w:rPr>
      </w:pPr>
    </w:p>
    <w:p>
      <w:pPr>
        <w:autoSpaceDE w:val="0"/>
        <w:autoSpaceDN w:val="0"/>
        <w:adjustRightInd w:val="0"/>
        <w:spacing w:line="360" w:lineRule="auto"/>
        <w:ind w:firstLine="0" w:firstLineChars="0"/>
        <w:jc w:val="center"/>
        <w:rPr>
          <w:rFonts w:eastAsia="黑体"/>
          <w:b/>
          <w:sz w:val="30"/>
          <w:szCs w:val="30"/>
        </w:rPr>
      </w:pPr>
    </w:p>
    <w:p>
      <w:pPr>
        <w:autoSpaceDE w:val="0"/>
        <w:autoSpaceDN w:val="0"/>
        <w:adjustRightInd w:val="0"/>
        <w:spacing w:line="360" w:lineRule="auto"/>
        <w:ind w:firstLine="0" w:firstLineChars="0"/>
        <w:jc w:val="center"/>
        <w:rPr>
          <w:rFonts w:ascii="宋体" w:hAnsi="宋体"/>
          <w:kern w:val="0"/>
          <w:sz w:val="36"/>
          <w:szCs w:val="36"/>
        </w:rPr>
      </w:pPr>
      <w:r>
        <w:rPr>
          <w:rFonts w:hint="eastAsia" w:ascii="宋体" w:hAnsi="宋体"/>
          <w:kern w:val="0"/>
          <w:sz w:val="36"/>
          <w:szCs w:val="36"/>
        </w:rPr>
        <w:t>农业农村部工程建设服务中心</w:t>
      </w:r>
    </w:p>
    <w:p>
      <w:pPr>
        <w:jc w:val="center"/>
      </w:pPr>
      <w:r>
        <w:rPr>
          <w:rFonts w:hint="eastAsia" w:ascii="宋体" w:hAnsi="宋体"/>
          <w:sz w:val="32"/>
          <w:szCs w:val="32"/>
        </w:rPr>
        <w:t>二○二</w:t>
      </w:r>
      <w:r>
        <w:rPr>
          <w:rFonts w:hint="eastAsia" w:ascii="宋体" w:hAnsi="宋体"/>
          <w:sz w:val="32"/>
          <w:szCs w:val="32"/>
          <w:lang w:eastAsia="zh-CN"/>
        </w:rPr>
        <w:t>四</w:t>
      </w:r>
      <w:r>
        <w:rPr>
          <w:rFonts w:hint="eastAsia" w:ascii="宋体" w:hAnsi="宋体"/>
          <w:sz w:val="32"/>
          <w:szCs w:val="32"/>
        </w:rPr>
        <w:t>年</w:t>
      </w:r>
      <w:r>
        <w:rPr>
          <w:rFonts w:hint="eastAsia" w:ascii="宋体" w:hAnsi="宋体"/>
          <w:sz w:val="32"/>
          <w:szCs w:val="32"/>
          <w:lang w:eastAsia="zh-CN"/>
        </w:rPr>
        <w:t>十</w:t>
      </w:r>
      <w:r>
        <w:rPr>
          <w:rFonts w:hint="eastAsia" w:ascii="宋体" w:hAnsi="宋体"/>
          <w:sz w:val="32"/>
          <w:szCs w:val="32"/>
        </w:rPr>
        <w:t>月</w:t>
      </w:r>
    </w:p>
    <w:p>
      <w:pPr>
        <w:sectPr>
          <w:footerReference r:id="rId5" w:type="even"/>
          <w:endnotePr>
            <w:numFmt w:val="decimal"/>
          </w:endnotePr>
          <w:pgSz w:w="11906" w:h="16838"/>
          <w:pgMar w:top="1440" w:right="1800" w:bottom="1440" w:left="1800" w:header="851" w:footer="992" w:gutter="0"/>
          <w:pgNumType w:start="1"/>
          <w:cols w:space="425" w:num="1"/>
          <w:titlePg/>
        </w:sectPr>
      </w:pPr>
    </w:p>
    <w:p>
      <w:pPr>
        <w:jc w:val="center"/>
        <w:rPr>
          <w:b/>
          <w:sz w:val="32"/>
          <w:szCs w:val="32"/>
        </w:rPr>
      </w:pPr>
      <w:r>
        <w:rPr>
          <w:b/>
          <w:sz w:val="32"/>
          <w:szCs w:val="32"/>
        </w:rPr>
        <w:t>目录</w:t>
      </w:r>
    </w:p>
    <w:p>
      <w:pPr>
        <w:pStyle w:val="13"/>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TOC \o "1-2" \h \z \u </w:instrText>
      </w:r>
      <w:r>
        <w:rPr>
          <w:rFonts w:ascii="Times New Roman" w:hAnsi="Times New Roman"/>
          <w:sz w:val="24"/>
        </w:rPr>
        <w:fldChar w:fldCharType="separate"/>
      </w:r>
      <w:r>
        <w:rPr>
          <w:rFonts w:ascii="Times New Roman" w:hAnsi="Times New Roman"/>
          <w:sz w:val="24"/>
        </w:rPr>
        <w:fldChar w:fldCharType="begin"/>
      </w:r>
      <w:r>
        <w:rPr>
          <w:rFonts w:ascii="Times New Roman" w:hAnsi="Times New Roman"/>
          <w:sz w:val="24"/>
        </w:rPr>
        <w:instrText xml:space="preserve"> HYPERLINK \l _Toc21820 </w:instrText>
      </w:r>
      <w:r>
        <w:rPr>
          <w:rFonts w:ascii="Times New Roman" w:hAnsi="Times New Roman"/>
          <w:sz w:val="24"/>
        </w:rPr>
        <w:fldChar w:fldCharType="separate"/>
      </w:r>
      <w:r>
        <w:rPr>
          <w:rFonts w:hint="default" w:ascii="Times New Roman" w:hAnsi="Times New Roman"/>
          <w:sz w:val="24"/>
        </w:rPr>
        <w:t xml:space="preserve">一、 </w:t>
      </w:r>
      <w:r>
        <w:rPr>
          <w:rFonts w:hint="eastAsia" w:ascii="Times New Roman" w:hAnsi="Times New Roman"/>
          <w:sz w:val="24"/>
          <w:lang w:val="en-US" w:eastAsia="zh-CN"/>
        </w:rPr>
        <w:t>工作简况</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_Toc21820 \h </w:instrText>
      </w:r>
      <w:r>
        <w:rPr>
          <w:rFonts w:ascii="Times New Roman" w:hAnsi="Times New Roman"/>
          <w:sz w:val="24"/>
        </w:rPr>
        <w:fldChar w:fldCharType="separate"/>
      </w:r>
      <w:r>
        <w:rPr>
          <w:rFonts w:ascii="Times New Roman" w:hAnsi="Times New Roman"/>
          <w:sz w:val="24"/>
        </w:rPr>
        <w:t>1</w:t>
      </w:r>
      <w:r>
        <w:rPr>
          <w:rFonts w:ascii="Times New Roman" w:hAnsi="Times New Roman"/>
          <w:sz w:val="24"/>
        </w:rPr>
        <w:fldChar w:fldCharType="end"/>
      </w:r>
      <w:r>
        <w:rPr>
          <w:rFonts w:ascii="Times New Roman" w:hAnsi="Times New Roman"/>
          <w:sz w:val="24"/>
        </w:rPr>
        <w:fldChar w:fldCharType="end"/>
      </w:r>
    </w:p>
    <w:p>
      <w:pPr>
        <w:pStyle w:val="12"/>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_Toc21616 </w:instrText>
      </w:r>
      <w:r>
        <w:rPr>
          <w:rFonts w:ascii="Times New Roman" w:hAnsi="Times New Roman"/>
          <w:sz w:val="24"/>
        </w:rPr>
        <w:fldChar w:fldCharType="separate"/>
      </w:r>
      <w:r>
        <w:rPr>
          <w:rFonts w:hint="eastAsia" w:ascii="Times New Roman" w:hAnsi="Times New Roman"/>
          <w:sz w:val="24"/>
        </w:rPr>
        <w:t xml:space="preserve">1. </w:t>
      </w:r>
      <w:r>
        <w:rPr>
          <w:rFonts w:ascii="Times New Roman" w:hAnsi="Times New Roman"/>
          <w:sz w:val="24"/>
        </w:rPr>
        <w:t>任务来源</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_Toc21616 \h </w:instrText>
      </w:r>
      <w:r>
        <w:rPr>
          <w:rFonts w:ascii="Times New Roman" w:hAnsi="Times New Roman"/>
          <w:sz w:val="24"/>
        </w:rPr>
        <w:fldChar w:fldCharType="separate"/>
      </w:r>
      <w:r>
        <w:rPr>
          <w:rFonts w:ascii="Times New Roman" w:hAnsi="Times New Roman"/>
          <w:sz w:val="24"/>
        </w:rPr>
        <w:t>1</w:t>
      </w:r>
      <w:r>
        <w:rPr>
          <w:rFonts w:ascii="Times New Roman" w:hAnsi="Times New Roman"/>
          <w:sz w:val="24"/>
        </w:rPr>
        <w:fldChar w:fldCharType="end"/>
      </w:r>
      <w:r>
        <w:rPr>
          <w:rFonts w:ascii="Times New Roman" w:hAnsi="Times New Roman"/>
          <w:sz w:val="24"/>
        </w:rPr>
        <w:fldChar w:fldCharType="end"/>
      </w:r>
    </w:p>
    <w:p>
      <w:pPr>
        <w:pStyle w:val="12"/>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_Toc27596 </w:instrText>
      </w:r>
      <w:r>
        <w:rPr>
          <w:rFonts w:ascii="Times New Roman" w:hAnsi="Times New Roman"/>
          <w:sz w:val="24"/>
        </w:rPr>
        <w:fldChar w:fldCharType="separate"/>
      </w:r>
      <w:r>
        <w:rPr>
          <w:rFonts w:hint="eastAsia" w:ascii="Times New Roman" w:hAnsi="Times New Roman"/>
          <w:sz w:val="24"/>
        </w:rPr>
        <w:t>2. 制定背景</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_Toc27596 \h </w:instrText>
      </w:r>
      <w:r>
        <w:rPr>
          <w:rFonts w:ascii="Times New Roman" w:hAnsi="Times New Roman"/>
          <w:sz w:val="24"/>
        </w:rPr>
        <w:fldChar w:fldCharType="separate"/>
      </w:r>
      <w:r>
        <w:rPr>
          <w:rFonts w:ascii="Times New Roman" w:hAnsi="Times New Roman"/>
          <w:sz w:val="24"/>
        </w:rPr>
        <w:t>1</w:t>
      </w:r>
      <w:r>
        <w:rPr>
          <w:rFonts w:ascii="Times New Roman" w:hAnsi="Times New Roman"/>
          <w:sz w:val="24"/>
        </w:rPr>
        <w:fldChar w:fldCharType="end"/>
      </w:r>
      <w:r>
        <w:rPr>
          <w:rFonts w:ascii="Times New Roman" w:hAnsi="Times New Roman"/>
          <w:sz w:val="24"/>
        </w:rPr>
        <w:fldChar w:fldCharType="end"/>
      </w:r>
    </w:p>
    <w:p>
      <w:pPr>
        <w:pStyle w:val="12"/>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_Toc14084 </w:instrText>
      </w:r>
      <w:r>
        <w:rPr>
          <w:rFonts w:ascii="Times New Roman" w:hAnsi="Times New Roman"/>
          <w:sz w:val="24"/>
        </w:rPr>
        <w:fldChar w:fldCharType="separate"/>
      </w:r>
      <w:r>
        <w:rPr>
          <w:rFonts w:hint="eastAsia" w:ascii="Times New Roman" w:hAnsi="Times New Roman"/>
          <w:sz w:val="24"/>
        </w:rPr>
        <w:t>3. 起草过程</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_Toc14084 \h </w:instrText>
      </w:r>
      <w:r>
        <w:rPr>
          <w:rFonts w:ascii="Times New Roman" w:hAnsi="Times New Roman"/>
          <w:sz w:val="24"/>
        </w:rPr>
        <w:fldChar w:fldCharType="separate"/>
      </w:r>
      <w:r>
        <w:rPr>
          <w:rFonts w:ascii="Times New Roman" w:hAnsi="Times New Roman"/>
          <w:sz w:val="24"/>
        </w:rPr>
        <w:t>2</w:t>
      </w:r>
      <w:r>
        <w:rPr>
          <w:rFonts w:ascii="Times New Roman" w:hAnsi="Times New Roman"/>
          <w:sz w:val="24"/>
        </w:rPr>
        <w:fldChar w:fldCharType="end"/>
      </w:r>
      <w:r>
        <w:rPr>
          <w:rFonts w:ascii="Times New Roman" w:hAnsi="Times New Roman"/>
          <w:sz w:val="24"/>
        </w:rPr>
        <w:fldChar w:fldCharType="end"/>
      </w:r>
    </w:p>
    <w:p>
      <w:pPr>
        <w:pStyle w:val="13"/>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_Toc28900 </w:instrText>
      </w:r>
      <w:r>
        <w:rPr>
          <w:rFonts w:ascii="Times New Roman" w:hAnsi="Times New Roman"/>
          <w:sz w:val="24"/>
        </w:rPr>
        <w:fldChar w:fldCharType="separate"/>
      </w:r>
      <w:r>
        <w:rPr>
          <w:rFonts w:hint="default" w:ascii="Times New Roman" w:hAnsi="Times New Roman"/>
          <w:sz w:val="24"/>
        </w:rPr>
        <w:t xml:space="preserve">二、 </w:t>
      </w:r>
      <w:r>
        <w:rPr>
          <w:rFonts w:hint="eastAsia" w:ascii="Times New Roman" w:hAnsi="Times New Roman"/>
          <w:sz w:val="24"/>
        </w:rPr>
        <w:t>标准</w:t>
      </w:r>
      <w:r>
        <w:rPr>
          <w:rFonts w:ascii="Times New Roman" w:hAnsi="Times New Roman"/>
          <w:sz w:val="24"/>
        </w:rPr>
        <w:t>编制原则</w:t>
      </w:r>
      <w:r>
        <w:rPr>
          <w:rFonts w:hint="eastAsia" w:ascii="Times New Roman" w:hAnsi="Times New Roman"/>
          <w:sz w:val="24"/>
        </w:rPr>
        <w:t>，主要内容及其确定依据</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_Toc28900 \h </w:instrText>
      </w:r>
      <w:r>
        <w:rPr>
          <w:rFonts w:ascii="Times New Roman" w:hAnsi="Times New Roman"/>
          <w:sz w:val="24"/>
        </w:rPr>
        <w:fldChar w:fldCharType="separate"/>
      </w:r>
      <w:r>
        <w:rPr>
          <w:rFonts w:ascii="Times New Roman" w:hAnsi="Times New Roman"/>
          <w:sz w:val="24"/>
        </w:rPr>
        <w:t>3</w:t>
      </w:r>
      <w:r>
        <w:rPr>
          <w:rFonts w:ascii="Times New Roman" w:hAnsi="Times New Roman"/>
          <w:sz w:val="24"/>
        </w:rPr>
        <w:fldChar w:fldCharType="end"/>
      </w:r>
      <w:r>
        <w:rPr>
          <w:rFonts w:ascii="Times New Roman" w:hAnsi="Times New Roman"/>
          <w:sz w:val="24"/>
        </w:rPr>
        <w:fldChar w:fldCharType="end"/>
      </w:r>
    </w:p>
    <w:p>
      <w:pPr>
        <w:pStyle w:val="12"/>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_Toc16985 </w:instrText>
      </w:r>
      <w:r>
        <w:rPr>
          <w:rFonts w:ascii="Times New Roman" w:hAnsi="Times New Roman"/>
          <w:sz w:val="24"/>
        </w:rPr>
        <w:fldChar w:fldCharType="separate"/>
      </w:r>
      <w:r>
        <w:rPr>
          <w:rFonts w:hint="eastAsia" w:ascii="Times New Roman" w:hAnsi="Times New Roman"/>
          <w:sz w:val="24"/>
        </w:rPr>
        <w:t xml:space="preserve">1. </w:t>
      </w:r>
      <w:r>
        <w:rPr>
          <w:rFonts w:ascii="Times New Roman" w:hAnsi="Times New Roman"/>
          <w:sz w:val="24"/>
        </w:rPr>
        <w:t>标准编制原则</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_Toc16985 \h </w:instrText>
      </w:r>
      <w:r>
        <w:rPr>
          <w:rFonts w:ascii="Times New Roman" w:hAnsi="Times New Roman"/>
          <w:sz w:val="24"/>
        </w:rPr>
        <w:fldChar w:fldCharType="separate"/>
      </w:r>
      <w:r>
        <w:rPr>
          <w:rFonts w:ascii="Times New Roman" w:hAnsi="Times New Roman"/>
          <w:sz w:val="24"/>
        </w:rPr>
        <w:t>3</w:t>
      </w:r>
      <w:r>
        <w:rPr>
          <w:rFonts w:ascii="Times New Roman" w:hAnsi="Times New Roman"/>
          <w:sz w:val="24"/>
        </w:rPr>
        <w:fldChar w:fldCharType="end"/>
      </w:r>
      <w:r>
        <w:rPr>
          <w:rFonts w:ascii="Times New Roman" w:hAnsi="Times New Roman"/>
          <w:sz w:val="24"/>
        </w:rPr>
        <w:fldChar w:fldCharType="end"/>
      </w:r>
    </w:p>
    <w:p>
      <w:pPr>
        <w:pStyle w:val="12"/>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_Toc7081 </w:instrText>
      </w:r>
      <w:r>
        <w:rPr>
          <w:rFonts w:ascii="Times New Roman" w:hAnsi="Times New Roman"/>
          <w:sz w:val="24"/>
        </w:rPr>
        <w:fldChar w:fldCharType="separate"/>
      </w:r>
      <w:r>
        <w:rPr>
          <w:rFonts w:hint="eastAsia" w:ascii="Times New Roman" w:hAnsi="Times New Roman"/>
          <w:sz w:val="24"/>
        </w:rPr>
        <w:t>2. 标准主要内容</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_Toc7081 \h </w:instrText>
      </w:r>
      <w:r>
        <w:rPr>
          <w:rFonts w:ascii="Times New Roman" w:hAnsi="Times New Roman"/>
          <w:sz w:val="24"/>
        </w:rPr>
        <w:fldChar w:fldCharType="separate"/>
      </w:r>
      <w:r>
        <w:rPr>
          <w:rFonts w:ascii="Times New Roman" w:hAnsi="Times New Roman"/>
          <w:sz w:val="24"/>
        </w:rPr>
        <w:t>4</w:t>
      </w:r>
      <w:r>
        <w:rPr>
          <w:rFonts w:ascii="Times New Roman" w:hAnsi="Times New Roman"/>
          <w:sz w:val="24"/>
        </w:rPr>
        <w:fldChar w:fldCharType="end"/>
      </w:r>
      <w:r>
        <w:rPr>
          <w:rFonts w:ascii="Times New Roman" w:hAnsi="Times New Roman"/>
          <w:sz w:val="24"/>
        </w:rPr>
        <w:fldChar w:fldCharType="end"/>
      </w:r>
    </w:p>
    <w:p>
      <w:pPr>
        <w:pStyle w:val="12"/>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_Toc1502 </w:instrText>
      </w:r>
      <w:r>
        <w:rPr>
          <w:rFonts w:ascii="Times New Roman" w:hAnsi="Times New Roman"/>
          <w:sz w:val="24"/>
        </w:rPr>
        <w:fldChar w:fldCharType="separate"/>
      </w:r>
      <w:r>
        <w:rPr>
          <w:rFonts w:hint="eastAsia" w:ascii="Times New Roman" w:hAnsi="Times New Roman"/>
          <w:sz w:val="24"/>
        </w:rPr>
        <w:t xml:space="preserve">3. </w:t>
      </w:r>
      <w:r>
        <w:rPr>
          <w:rFonts w:ascii="Times New Roman" w:hAnsi="Times New Roman"/>
          <w:sz w:val="24"/>
        </w:rPr>
        <w:t>标准编制依据</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_Toc1502 \h </w:instrText>
      </w:r>
      <w:r>
        <w:rPr>
          <w:rFonts w:ascii="Times New Roman" w:hAnsi="Times New Roman"/>
          <w:sz w:val="24"/>
        </w:rPr>
        <w:fldChar w:fldCharType="separate"/>
      </w:r>
      <w:r>
        <w:rPr>
          <w:rFonts w:ascii="Times New Roman" w:hAnsi="Times New Roman"/>
          <w:sz w:val="24"/>
        </w:rPr>
        <w:t>5</w:t>
      </w:r>
      <w:r>
        <w:rPr>
          <w:rFonts w:ascii="Times New Roman" w:hAnsi="Times New Roman"/>
          <w:sz w:val="24"/>
        </w:rPr>
        <w:fldChar w:fldCharType="end"/>
      </w:r>
      <w:r>
        <w:rPr>
          <w:rFonts w:ascii="Times New Roman" w:hAnsi="Times New Roman"/>
          <w:sz w:val="24"/>
        </w:rPr>
        <w:fldChar w:fldCharType="end"/>
      </w:r>
    </w:p>
    <w:p>
      <w:pPr>
        <w:pStyle w:val="13"/>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_Toc1853 </w:instrText>
      </w:r>
      <w:r>
        <w:rPr>
          <w:rFonts w:ascii="Times New Roman" w:hAnsi="Times New Roman"/>
          <w:sz w:val="24"/>
        </w:rPr>
        <w:fldChar w:fldCharType="separate"/>
      </w:r>
      <w:r>
        <w:rPr>
          <w:rFonts w:hint="default" w:ascii="Times New Roman" w:hAnsi="Times New Roman"/>
          <w:sz w:val="24"/>
        </w:rPr>
        <w:t xml:space="preserve">三、 </w:t>
      </w:r>
      <w:r>
        <w:rPr>
          <w:rFonts w:hint="eastAsia" w:ascii="Times New Roman" w:hAnsi="Times New Roman"/>
          <w:sz w:val="24"/>
        </w:rPr>
        <w:t>试验验证的分析、综述报告，技术经济论证，预期的经济效益、社会效益、生态效益</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_Toc1853 \h </w:instrText>
      </w:r>
      <w:r>
        <w:rPr>
          <w:rFonts w:ascii="Times New Roman" w:hAnsi="Times New Roman"/>
          <w:sz w:val="24"/>
        </w:rPr>
        <w:fldChar w:fldCharType="separate"/>
      </w:r>
      <w:r>
        <w:rPr>
          <w:rFonts w:ascii="Times New Roman" w:hAnsi="Times New Roman"/>
          <w:sz w:val="24"/>
        </w:rPr>
        <w:t>6</w:t>
      </w:r>
      <w:r>
        <w:rPr>
          <w:rFonts w:ascii="Times New Roman" w:hAnsi="Times New Roman"/>
          <w:sz w:val="24"/>
        </w:rPr>
        <w:fldChar w:fldCharType="end"/>
      </w:r>
      <w:r>
        <w:rPr>
          <w:rFonts w:ascii="Times New Roman" w:hAnsi="Times New Roman"/>
          <w:sz w:val="24"/>
        </w:rPr>
        <w:fldChar w:fldCharType="end"/>
      </w:r>
    </w:p>
    <w:p>
      <w:pPr>
        <w:pStyle w:val="12"/>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_Toc7126 </w:instrText>
      </w:r>
      <w:r>
        <w:rPr>
          <w:rFonts w:ascii="Times New Roman" w:hAnsi="Times New Roman"/>
          <w:sz w:val="24"/>
        </w:rPr>
        <w:fldChar w:fldCharType="separate"/>
      </w:r>
      <w:r>
        <w:rPr>
          <w:rFonts w:hint="eastAsia" w:ascii="Times New Roman" w:hAnsi="Times New Roman"/>
          <w:sz w:val="24"/>
        </w:rPr>
        <w:t>1. 试验验证分析、综述报告</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_Toc7126 \h </w:instrText>
      </w:r>
      <w:r>
        <w:rPr>
          <w:rFonts w:ascii="Times New Roman" w:hAnsi="Times New Roman"/>
          <w:sz w:val="24"/>
        </w:rPr>
        <w:fldChar w:fldCharType="separate"/>
      </w:r>
      <w:r>
        <w:rPr>
          <w:rFonts w:ascii="Times New Roman" w:hAnsi="Times New Roman"/>
          <w:sz w:val="24"/>
        </w:rPr>
        <w:t>6</w:t>
      </w:r>
      <w:r>
        <w:rPr>
          <w:rFonts w:ascii="Times New Roman" w:hAnsi="Times New Roman"/>
          <w:sz w:val="24"/>
        </w:rPr>
        <w:fldChar w:fldCharType="end"/>
      </w:r>
      <w:r>
        <w:rPr>
          <w:rFonts w:ascii="Times New Roman" w:hAnsi="Times New Roman"/>
          <w:sz w:val="24"/>
        </w:rPr>
        <w:fldChar w:fldCharType="end"/>
      </w:r>
    </w:p>
    <w:p>
      <w:pPr>
        <w:pStyle w:val="12"/>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_Toc18910 </w:instrText>
      </w:r>
      <w:r>
        <w:rPr>
          <w:rFonts w:ascii="Times New Roman" w:hAnsi="Times New Roman"/>
          <w:sz w:val="24"/>
        </w:rPr>
        <w:fldChar w:fldCharType="separate"/>
      </w:r>
      <w:r>
        <w:rPr>
          <w:rFonts w:hint="eastAsia" w:ascii="Times New Roman" w:hAnsi="Times New Roman"/>
          <w:sz w:val="24"/>
        </w:rPr>
        <w:t>2. 技术经济论证</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_Toc18910 \h </w:instrText>
      </w:r>
      <w:r>
        <w:rPr>
          <w:rFonts w:ascii="Times New Roman" w:hAnsi="Times New Roman"/>
          <w:sz w:val="24"/>
        </w:rPr>
        <w:fldChar w:fldCharType="separate"/>
      </w:r>
      <w:r>
        <w:rPr>
          <w:rFonts w:ascii="Times New Roman" w:hAnsi="Times New Roman"/>
          <w:sz w:val="24"/>
        </w:rPr>
        <w:t>6</w:t>
      </w:r>
      <w:r>
        <w:rPr>
          <w:rFonts w:ascii="Times New Roman" w:hAnsi="Times New Roman"/>
          <w:sz w:val="24"/>
        </w:rPr>
        <w:fldChar w:fldCharType="end"/>
      </w:r>
      <w:r>
        <w:rPr>
          <w:rFonts w:ascii="Times New Roman" w:hAnsi="Times New Roman"/>
          <w:sz w:val="24"/>
        </w:rPr>
        <w:fldChar w:fldCharType="end"/>
      </w:r>
    </w:p>
    <w:p>
      <w:pPr>
        <w:pStyle w:val="12"/>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_Toc6783 </w:instrText>
      </w:r>
      <w:r>
        <w:rPr>
          <w:rFonts w:ascii="Times New Roman" w:hAnsi="Times New Roman"/>
          <w:sz w:val="24"/>
        </w:rPr>
        <w:fldChar w:fldCharType="separate"/>
      </w:r>
      <w:r>
        <w:rPr>
          <w:rFonts w:hint="eastAsia" w:ascii="Times New Roman" w:hAnsi="Times New Roman"/>
          <w:sz w:val="24"/>
        </w:rPr>
        <w:t>3. 预期的经济效益、社会效益、生态效益</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_Toc6783 \h </w:instrText>
      </w:r>
      <w:r>
        <w:rPr>
          <w:rFonts w:ascii="Times New Roman" w:hAnsi="Times New Roman"/>
          <w:sz w:val="24"/>
        </w:rPr>
        <w:fldChar w:fldCharType="separate"/>
      </w:r>
      <w:r>
        <w:rPr>
          <w:rFonts w:ascii="Times New Roman" w:hAnsi="Times New Roman"/>
          <w:sz w:val="24"/>
        </w:rPr>
        <w:t>6</w:t>
      </w:r>
      <w:r>
        <w:rPr>
          <w:rFonts w:ascii="Times New Roman" w:hAnsi="Times New Roman"/>
          <w:sz w:val="24"/>
        </w:rPr>
        <w:fldChar w:fldCharType="end"/>
      </w:r>
      <w:r>
        <w:rPr>
          <w:rFonts w:ascii="Times New Roman" w:hAnsi="Times New Roman"/>
          <w:sz w:val="24"/>
        </w:rPr>
        <w:fldChar w:fldCharType="end"/>
      </w:r>
    </w:p>
    <w:p>
      <w:pPr>
        <w:pStyle w:val="13"/>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_Toc32222 </w:instrText>
      </w:r>
      <w:r>
        <w:rPr>
          <w:rFonts w:ascii="Times New Roman" w:hAnsi="Times New Roman"/>
          <w:sz w:val="24"/>
        </w:rPr>
        <w:fldChar w:fldCharType="separate"/>
      </w:r>
      <w:r>
        <w:rPr>
          <w:rFonts w:hint="default" w:ascii="Times New Roman" w:hAnsi="Times New Roman"/>
          <w:sz w:val="24"/>
        </w:rPr>
        <w:t xml:space="preserve">四、 </w:t>
      </w:r>
      <w:r>
        <w:rPr>
          <w:rFonts w:hint="eastAsia" w:ascii="Times New Roman" w:hAnsi="Times New Roman"/>
          <w:sz w:val="24"/>
        </w:rPr>
        <w:t>与国际、国外同类标准技术内容的对比情况</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_Toc32222 \h </w:instrText>
      </w:r>
      <w:r>
        <w:rPr>
          <w:rFonts w:ascii="Times New Roman" w:hAnsi="Times New Roman"/>
          <w:sz w:val="24"/>
        </w:rPr>
        <w:fldChar w:fldCharType="separate"/>
      </w:r>
      <w:r>
        <w:rPr>
          <w:rFonts w:ascii="Times New Roman" w:hAnsi="Times New Roman"/>
          <w:sz w:val="24"/>
        </w:rPr>
        <w:t>7</w:t>
      </w:r>
      <w:r>
        <w:rPr>
          <w:rFonts w:ascii="Times New Roman" w:hAnsi="Times New Roman"/>
          <w:sz w:val="24"/>
        </w:rPr>
        <w:fldChar w:fldCharType="end"/>
      </w:r>
      <w:r>
        <w:rPr>
          <w:rFonts w:ascii="Times New Roman" w:hAnsi="Times New Roman"/>
          <w:sz w:val="24"/>
        </w:rPr>
        <w:fldChar w:fldCharType="end"/>
      </w:r>
    </w:p>
    <w:p>
      <w:pPr>
        <w:pStyle w:val="13"/>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_Toc25518 </w:instrText>
      </w:r>
      <w:r>
        <w:rPr>
          <w:rFonts w:ascii="Times New Roman" w:hAnsi="Times New Roman"/>
          <w:sz w:val="24"/>
        </w:rPr>
        <w:fldChar w:fldCharType="separate"/>
      </w:r>
      <w:r>
        <w:rPr>
          <w:rFonts w:hint="default" w:ascii="Times New Roman" w:hAnsi="Times New Roman"/>
          <w:sz w:val="24"/>
        </w:rPr>
        <w:t xml:space="preserve">五、 </w:t>
      </w:r>
      <w:r>
        <w:rPr>
          <w:rFonts w:hint="eastAsia" w:ascii="Times New Roman" w:hAnsi="Times New Roman"/>
          <w:sz w:val="24"/>
        </w:rPr>
        <w:t>以国际标准为基础的起草情况，以及是否合规引用或者采用国际国外标准，并说明未采用国际的原因</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_Toc25518 \h </w:instrText>
      </w:r>
      <w:r>
        <w:rPr>
          <w:rFonts w:ascii="Times New Roman" w:hAnsi="Times New Roman"/>
          <w:sz w:val="24"/>
        </w:rPr>
        <w:fldChar w:fldCharType="separate"/>
      </w:r>
      <w:r>
        <w:rPr>
          <w:rFonts w:ascii="Times New Roman" w:hAnsi="Times New Roman"/>
          <w:sz w:val="24"/>
        </w:rPr>
        <w:t>7</w:t>
      </w:r>
      <w:r>
        <w:rPr>
          <w:rFonts w:ascii="Times New Roman" w:hAnsi="Times New Roman"/>
          <w:sz w:val="24"/>
        </w:rPr>
        <w:fldChar w:fldCharType="end"/>
      </w:r>
      <w:r>
        <w:rPr>
          <w:rFonts w:ascii="Times New Roman" w:hAnsi="Times New Roman"/>
          <w:sz w:val="24"/>
        </w:rPr>
        <w:fldChar w:fldCharType="end"/>
      </w:r>
    </w:p>
    <w:p>
      <w:pPr>
        <w:pStyle w:val="13"/>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_Toc4960 </w:instrText>
      </w:r>
      <w:r>
        <w:rPr>
          <w:rFonts w:ascii="Times New Roman" w:hAnsi="Times New Roman"/>
          <w:sz w:val="24"/>
        </w:rPr>
        <w:fldChar w:fldCharType="separate"/>
      </w:r>
      <w:r>
        <w:rPr>
          <w:rFonts w:hint="default" w:ascii="Times New Roman" w:hAnsi="Times New Roman"/>
          <w:sz w:val="24"/>
        </w:rPr>
        <w:t xml:space="preserve">六、 </w:t>
      </w:r>
      <w:r>
        <w:rPr>
          <w:rFonts w:hint="eastAsia" w:ascii="Times New Roman" w:hAnsi="Times New Roman"/>
          <w:sz w:val="24"/>
        </w:rPr>
        <w:t>与有关法律、行政法规及相关标准的关系</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_Toc4960 \h </w:instrText>
      </w:r>
      <w:r>
        <w:rPr>
          <w:rFonts w:ascii="Times New Roman" w:hAnsi="Times New Roman"/>
          <w:sz w:val="24"/>
        </w:rPr>
        <w:fldChar w:fldCharType="separate"/>
      </w:r>
      <w:r>
        <w:rPr>
          <w:rFonts w:ascii="Times New Roman" w:hAnsi="Times New Roman"/>
          <w:sz w:val="24"/>
        </w:rPr>
        <w:t>8</w:t>
      </w:r>
      <w:r>
        <w:rPr>
          <w:rFonts w:ascii="Times New Roman" w:hAnsi="Times New Roman"/>
          <w:sz w:val="24"/>
        </w:rPr>
        <w:fldChar w:fldCharType="end"/>
      </w:r>
      <w:r>
        <w:rPr>
          <w:rFonts w:ascii="Times New Roman" w:hAnsi="Times New Roman"/>
          <w:sz w:val="24"/>
        </w:rPr>
        <w:fldChar w:fldCharType="end"/>
      </w:r>
    </w:p>
    <w:p>
      <w:pPr>
        <w:pStyle w:val="13"/>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_Toc15810 </w:instrText>
      </w:r>
      <w:r>
        <w:rPr>
          <w:rFonts w:ascii="Times New Roman" w:hAnsi="Times New Roman"/>
          <w:sz w:val="24"/>
        </w:rPr>
        <w:fldChar w:fldCharType="separate"/>
      </w:r>
      <w:r>
        <w:rPr>
          <w:rFonts w:hint="default" w:ascii="Times New Roman" w:hAnsi="Times New Roman"/>
          <w:sz w:val="24"/>
        </w:rPr>
        <w:t xml:space="preserve">七、 </w:t>
      </w:r>
      <w:r>
        <w:rPr>
          <w:rFonts w:ascii="Times New Roman" w:hAnsi="Times New Roman"/>
          <w:sz w:val="24"/>
        </w:rPr>
        <w:t>重大分歧意见的处理经过和依据</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_Toc15810 \h </w:instrText>
      </w:r>
      <w:r>
        <w:rPr>
          <w:rFonts w:ascii="Times New Roman" w:hAnsi="Times New Roman"/>
          <w:sz w:val="24"/>
        </w:rPr>
        <w:fldChar w:fldCharType="separate"/>
      </w:r>
      <w:r>
        <w:rPr>
          <w:rFonts w:ascii="Times New Roman" w:hAnsi="Times New Roman"/>
          <w:sz w:val="24"/>
        </w:rPr>
        <w:t>8</w:t>
      </w:r>
      <w:r>
        <w:rPr>
          <w:rFonts w:ascii="Times New Roman" w:hAnsi="Times New Roman"/>
          <w:sz w:val="24"/>
        </w:rPr>
        <w:fldChar w:fldCharType="end"/>
      </w:r>
      <w:r>
        <w:rPr>
          <w:rFonts w:ascii="Times New Roman" w:hAnsi="Times New Roman"/>
          <w:sz w:val="24"/>
        </w:rPr>
        <w:fldChar w:fldCharType="end"/>
      </w:r>
    </w:p>
    <w:p>
      <w:pPr>
        <w:pStyle w:val="13"/>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_Toc23264 </w:instrText>
      </w:r>
      <w:r>
        <w:rPr>
          <w:rFonts w:ascii="Times New Roman" w:hAnsi="Times New Roman"/>
          <w:sz w:val="24"/>
        </w:rPr>
        <w:fldChar w:fldCharType="separate"/>
      </w:r>
      <w:r>
        <w:rPr>
          <w:rFonts w:hint="default" w:ascii="Times New Roman" w:hAnsi="Times New Roman"/>
          <w:sz w:val="24"/>
        </w:rPr>
        <w:t xml:space="preserve">八、 </w:t>
      </w:r>
      <w:r>
        <w:rPr>
          <w:rFonts w:hint="eastAsia" w:ascii="Times New Roman" w:hAnsi="Times New Roman"/>
          <w:sz w:val="24"/>
        </w:rPr>
        <w:t>涉及专利的有关说明</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_Toc23264 \h </w:instrText>
      </w:r>
      <w:r>
        <w:rPr>
          <w:rFonts w:ascii="Times New Roman" w:hAnsi="Times New Roman"/>
          <w:sz w:val="24"/>
        </w:rPr>
        <w:fldChar w:fldCharType="separate"/>
      </w:r>
      <w:r>
        <w:rPr>
          <w:rFonts w:ascii="Times New Roman" w:hAnsi="Times New Roman"/>
          <w:sz w:val="24"/>
        </w:rPr>
        <w:t>8</w:t>
      </w:r>
      <w:r>
        <w:rPr>
          <w:rFonts w:ascii="Times New Roman" w:hAnsi="Times New Roman"/>
          <w:sz w:val="24"/>
        </w:rPr>
        <w:fldChar w:fldCharType="end"/>
      </w:r>
      <w:r>
        <w:rPr>
          <w:rFonts w:ascii="Times New Roman" w:hAnsi="Times New Roman"/>
          <w:sz w:val="24"/>
        </w:rPr>
        <w:fldChar w:fldCharType="end"/>
      </w:r>
    </w:p>
    <w:p>
      <w:pPr>
        <w:pStyle w:val="13"/>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_Toc11678 </w:instrText>
      </w:r>
      <w:r>
        <w:rPr>
          <w:rFonts w:ascii="Times New Roman" w:hAnsi="Times New Roman"/>
          <w:sz w:val="24"/>
        </w:rPr>
        <w:fldChar w:fldCharType="separate"/>
      </w:r>
      <w:r>
        <w:rPr>
          <w:rFonts w:hint="default" w:ascii="Times New Roman" w:hAnsi="Times New Roman"/>
          <w:sz w:val="24"/>
        </w:rPr>
        <w:t xml:space="preserve">九、 </w:t>
      </w:r>
      <w:r>
        <w:rPr>
          <w:rFonts w:hint="eastAsia" w:ascii="Times New Roman" w:hAnsi="Times New Roman"/>
          <w:sz w:val="24"/>
        </w:rPr>
        <w:t>实施国家标准的要求，以及组织措施、技术措施、过渡期和实施日期的建议等措施建议</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_Toc11678 \h </w:instrText>
      </w:r>
      <w:r>
        <w:rPr>
          <w:rFonts w:ascii="Times New Roman" w:hAnsi="Times New Roman"/>
          <w:sz w:val="24"/>
        </w:rPr>
        <w:fldChar w:fldCharType="separate"/>
      </w:r>
      <w:r>
        <w:rPr>
          <w:rFonts w:ascii="Times New Roman" w:hAnsi="Times New Roman"/>
          <w:sz w:val="24"/>
        </w:rPr>
        <w:t>8</w:t>
      </w:r>
      <w:r>
        <w:rPr>
          <w:rFonts w:ascii="Times New Roman" w:hAnsi="Times New Roman"/>
          <w:sz w:val="24"/>
        </w:rPr>
        <w:fldChar w:fldCharType="end"/>
      </w:r>
      <w:r>
        <w:rPr>
          <w:rFonts w:ascii="Times New Roman" w:hAnsi="Times New Roman"/>
          <w:sz w:val="24"/>
        </w:rPr>
        <w:fldChar w:fldCharType="end"/>
      </w:r>
    </w:p>
    <w:p>
      <w:pPr>
        <w:pStyle w:val="13"/>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_Toc29324 </w:instrText>
      </w:r>
      <w:r>
        <w:rPr>
          <w:rFonts w:ascii="Times New Roman" w:hAnsi="Times New Roman"/>
          <w:sz w:val="24"/>
        </w:rPr>
        <w:fldChar w:fldCharType="separate"/>
      </w:r>
      <w:r>
        <w:rPr>
          <w:rFonts w:hint="default" w:ascii="Times New Roman" w:hAnsi="Times New Roman"/>
          <w:sz w:val="24"/>
        </w:rPr>
        <w:t xml:space="preserve">十、 </w:t>
      </w:r>
      <w:r>
        <w:rPr>
          <w:rFonts w:ascii="Times New Roman" w:hAnsi="Times New Roman"/>
          <w:sz w:val="24"/>
        </w:rPr>
        <w:t>其他</w:t>
      </w:r>
      <w:r>
        <w:rPr>
          <w:rFonts w:hint="eastAsia" w:ascii="Times New Roman" w:hAnsi="Times New Roman"/>
          <w:sz w:val="24"/>
        </w:rPr>
        <w:t>应当说明的事项</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_Toc29324 \h </w:instrText>
      </w:r>
      <w:r>
        <w:rPr>
          <w:rFonts w:ascii="Times New Roman" w:hAnsi="Times New Roman"/>
          <w:sz w:val="24"/>
        </w:rPr>
        <w:fldChar w:fldCharType="separate"/>
      </w:r>
      <w:r>
        <w:rPr>
          <w:rFonts w:ascii="Times New Roman" w:hAnsi="Times New Roman"/>
          <w:sz w:val="24"/>
        </w:rPr>
        <w:t>8</w:t>
      </w:r>
      <w:r>
        <w:rPr>
          <w:rFonts w:ascii="Times New Roman" w:hAnsi="Times New Roman"/>
          <w:sz w:val="24"/>
        </w:rPr>
        <w:fldChar w:fldCharType="end"/>
      </w:r>
      <w:r>
        <w:rPr>
          <w:rFonts w:ascii="Times New Roman" w:hAnsi="Times New Roman"/>
          <w:sz w:val="24"/>
        </w:rPr>
        <w:fldChar w:fldCharType="end"/>
      </w:r>
    </w:p>
    <w:p>
      <w:pPr>
        <w:pStyle w:val="13"/>
        <w:tabs>
          <w:tab w:val="right" w:leader="dot" w:pos="8306"/>
          <w:tab w:val="clear" w:pos="840"/>
          <w:tab w:val="clear" w:pos="9345"/>
        </w:tabs>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HYPERLINK \l _Toc31228 </w:instrText>
      </w:r>
      <w:r>
        <w:rPr>
          <w:rFonts w:ascii="Times New Roman" w:hAnsi="Times New Roman"/>
          <w:sz w:val="24"/>
        </w:rPr>
        <w:fldChar w:fldCharType="separate"/>
      </w:r>
      <w:r>
        <w:rPr>
          <w:rFonts w:ascii="Times New Roman" w:hAnsi="Times New Roman"/>
          <w:sz w:val="24"/>
        </w:rPr>
        <w:t>参考文献</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_Toc31228 \h </w:instrText>
      </w:r>
      <w:r>
        <w:rPr>
          <w:rFonts w:ascii="Times New Roman" w:hAnsi="Times New Roman"/>
          <w:sz w:val="24"/>
        </w:rPr>
        <w:fldChar w:fldCharType="separate"/>
      </w:r>
      <w:r>
        <w:rPr>
          <w:rFonts w:ascii="Times New Roman" w:hAnsi="Times New Roman"/>
          <w:sz w:val="24"/>
        </w:rPr>
        <w:t>9</w:t>
      </w:r>
      <w:r>
        <w:rPr>
          <w:rFonts w:ascii="Times New Roman" w:hAnsi="Times New Roman"/>
          <w:sz w:val="24"/>
        </w:rPr>
        <w:fldChar w:fldCharType="end"/>
      </w:r>
      <w:r>
        <w:rPr>
          <w:rFonts w:ascii="Times New Roman" w:hAnsi="Times New Roman"/>
          <w:sz w:val="24"/>
        </w:rPr>
        <w:fldChar w:fldCharType="end"/>
      </w:r>
    </w:p>
    <w:p>
      <w:pPr>
        <w:spacing w:line="360" w:lineRule="auto"/>
      </w:pPr>
      <w:r>
        <w:rPr>
          <w:rFonts w:ascii="Times New Roman" w:hAnsi="Times New Roman"/>
          <w:sz w:val="24"/>
        </w:rPr>
        <w:fldChar w:fldCharType="end"/>
      </w:r>
    </w:p>
    <w:p>
      <w:pPr>
        <w:spacing w:line="240" w:lineRule="auto"/>
      </w:pPr>
    </w:p>
    <w:p>
      <w:pPr>
        <w:widowControl/>
        <w:autoSpaceDE/>
        <w:autoSpaceDN/>
        <w:adjustRightInd/>
        <w:spacing w:line="240" w:lineRule="auto"/>
        <w:jc w:val="left"/>
        <w:textAlignment w:val="auto"/>
        <w:sectPr>
          <w:footerReference r:id="rId6" w:type="default"/>
          <w:pgSz w:w="11906" w:h="16838"/>
          <w:pgMar w:top="1440" w:right="1800" w:bottom="1440" w:left="1800" w:header="851" w:footer="992" w:gutter="0"/>
          <w:pgNumType w:fmt="upperRoman" w:start="1"/>
          <w:cols w:space="425" w:num="1"/>
          <w:docGrid w:type="lines" w:linePitch="312" w:charSpace="0"/>
        </w:sectPr>
      </w:pPr>
    </w:p>
    <w:p>
      <w:pPr>
        <w:jc w:val="center"/>
        <w:rPr>
          <w:rFonts w:hint="eastAsia" w:ascii="Times New Roman" w:hAnsi="Times New Roman" w:eastAsia="黑体" w:cs="Times New Roman"/>
          <w:sz w:val="36"/>
          <w:szCs w:val="36"/>
          <w:lang w:val="en-US" w:eastAsia="zh-CN"/>
        </w:rPr>
      </w:pPr>
      <w:bookmarkStart w:id="0" w:name="_Toc529537710"/>
      <w:bookmarkStart w:id="1" w:name="_Toc531195516"/>
      <w:bookmarkStart w:id="2" w:name="_Toc405558598"/>
      <w:r>
        <w:rPr>
          <w:rFonts w:hint="eastAsia" w:ascii="Times New Roman" w:hAnsi="Times New Roman" w:eastAsia="黑体" w:cs="Times New Roman"/>
          <w:sz w:val="36"/>
          <w:szCs w:val="36"/>
          <w:lang w:val="en-US" w:eastAsia="zh-CN"/>
        </w:rPr>
        <w:t>《农业建设项目可行性研究报告编制规程》</w:t>
      </w:r>
      <w:bookmarkEnd w:id="0"/>
      <w:bookmarkEnd w:id="1"/>
    </w:p>
    <w:p>
      <w:pPr>
        <w:jc w:val="center"/>
        <w:rPr>
          <w:rFonts w:hint="eastAsia" w:ascii="Times New Roman" w:hAnsi="Times New Roman" w:eastAsia="黑体" w:cs="Times New Roman"/>
          <w:sz w:val="36"/>
          <w:szCs w:val="36"/>
          <w:lang w:val="en-US" w:eastAsia="zh-CN"/>
        </w:rPr>
      </w:pPr>
      <w:bookmarkStart w:id="3" w:name="_Toc529537711"/>
      <w:bookmarkStart w:id="4" w:name="_Toc531195517"/>
      <w:bookmarkStart w:id="5" w:name="_Toc405845503"/>
      <w:r>
        <w:rPr>
          <w:rFonts w:hint="eastAsia" w:ascii="Times New Roman" w:hAnsi="Times New Roman" w:eastAsia="黑体" w:cs="Times New Roman"/>
          <w:sz w:val="36"/>
          <w:szCs w:val="36"/>
          <w:lang w:val="en-US" w:eastAsia="zh-CN"/>
        </w:rPr>
        <w:t>编制说明</w:t>
      </w:r>
      <w:bookmarkEnd w:id="3"/>
      <w:bookmarkEnd w:id="4"/>
      <w:bookmarkEnd w:id="5"/>
    </w:p>
    <w:p>
      <w:pPr>
        <w:pStyle w:val="5"/>
        <w:numPr>
          <w:ilvl w:val="2"/>
          <w:numId w:val="0"/>
        </w:numPr>
        <w:ind w:leftChars="0"/>
        <w:rPr>
          <w:rFonts w:hint="eastAsia"/>
          <w:lang w:val="en-US" w:eastAsia="zh-CN"/>
        </w:rPr>
      </w:pPr>
    </w:p>
    <w:bookmarkEnd w:id="2"/>
    <w:p>
      <w:pPr>
        <w:pStyle w:val="3"/>
      </w:pPr>
      <w:bookmarkStart w:id="6" w:name="_Toc21820"/>
      <w:r>
        <w:rPr>
          <w:rFonts w:hint="eastAsia"/>
          <w:lang w:val="en-US" w:eastAsia="zh-CN"/>
        </w:rPr>
        <w:t>工作简况</w:t>
      </w:r>
      <w:bookmarkEnd w:id="6"/>
    </w:p>
    <w:p>
      <w:pPr>
        <w:pStyle w:val="4"/>
        <w:rPr>
          <w:rFonts w:hint="eastAsia"/>
          <w:sz w:val="24"/>
          <w:szCs w:val="28"/>
        </w:rPr>
      </w:pPr>
      <w:bookmarkStart w:id="7" w:name="_Toc405558599"/>
      <w:bookmarkStart w:id="8" w:name="_Toc21616"/>
      <w:bookmarkStart w:id="9" w:name="_Toc44002648"/>
      <w:r>
        <w:t>任务来源</w:t>
      </w:r>
      <w:bookmarkEnd w:id="7"/>
      <w:bookmarkEnd w:id="8"/>
      <w:bookmarkEnd w:id="9"/>
      <w:bookmarkStart w:id="10" w:name="_Toc484330749"/>
      <w:bookmarkStart w:id="11" w:name="_Toc484286719"/>
      <w:bookmarkStart w:id="12" w:name="_Toc484294114"/>
      <w:bookmarkStart w:id="13" w:name="_Toc484435622"/>
      <w:bookmarkStart w:id="14" w:name="_Toc484283146"/>
      <w:bookmarkStart w:id="15" w:name="_Toc484274589"/>
      <w:bookmarkStart w:id="16" w:name="_Toc484293868"/>
      <w:bookmarkStart w:id="17" w:name="_Toc484434360"/>
      <w:bookmarkStart w:id="18" w:name="_Toc484273817"/>
      <w:bookmarkStart w:id="19" w:name="_Toc484442647"/>
      <w:bookmarkStart w:id="20" w:name="_Toc484322613"/>
      <w:bookmarkStart w:id="21" w:name="_Toc484433870"/>
      <w:bookmarkStart w:id="22" w:name="_Toc484286580"/>
      <w:bookmarkStart w:id="23" w:name="_Toc484287399"/>
      <w:bookmarkStart w:id="24" w:name="_Toc484434216"/>
      <w:bookmarkStart w:id="25" w:name="_Toc484434072"/>
      <w:bookmarkStart w:id="26" w:name="_Toc484287504"/>
      <w:bookmarkStart w:id="27" w:name="_Toc484287191"/>
      <w:bookmarkStart w:id="28" w:name="_Toc484311046"/>
      <w:bookmarkStart w:id="29" w:name="_Toc484286254"/>
      <w:bookmarkStart w:id="30" w:name="_Toc484273651"/>
      <w:bookmarkStart w:id="31" w:name="_Toc484286858"/>
      <w:bookmarkStart w:id="32" w:name="_Toc490836417"/>
      <w:bookmarkStart w:id="33" w:name="_Toc484434705"/>
      <w:bookmarkStart w:id="34" w:name="_Toc484442747"/>
      <w:bookmarkStart w:id="35" w:name="_Toc484285985"/>
      <w:bookmarkStart w:id="36" w:name="_Toc484286947"/>
      <w:bookmarkStart w:id="37" w:name="_Toc484287276"/>
    </w:p>
    <w:p>
      <w:pPr>
        <w:adjustRightInd/>
        <w:spacing w:line="360" w:lineRule="auto"/>
        <w:ind w:firstLine="480" w:firstLineChars="200"/>
        <w:rPr>
          <w:rFonts w:hint="eastAsia" w:ascii="仿宋_GB2312" w:hAnsi="仿宋_GB2312" w:eastAsia="仿宋_GB2312" w:cs="仿宋_GB2312"/>
          <w:sz w:val="28"/>
          <w:szCs w:val="28"/>
          <w:lang w:val="en-US" w:eastAsia="zh-CN"/>
        </w:rPr>
      </w:pPr>
      <w:r>
        <w:rPr>
          <w:rFonts w:hint="eastAsia"/>
          <w:sz w:val="24"/>
          <w:szCs w:val="28"/>
        </w:rPr>
        <w:t>农业行业标准《</w:t>
      </w:r>
      <w:r>
        <w:rPr>
          <w:rFonts w:hint="eastAsia" w:ascii="Times New Roman" w:hAnsi="Times New Roman" w:eastAsia="宋体" w:cs="Times New Roman"/>
          <w:sz w:val="24"/>
          <w:szCs w:val="28"/>
          <w:lang w:val="en-US" w:eastAsia="zh-CN"/>
        </w:rPr>
        <w:t>农业建设项目可行性研究报告编制规程</w:t>
      </w:r>
      <w:r>
        <w:rPr>
          <w:rFonts w:hint="eastAsia"/>
          <w:sz w:val="24"/>
          <w:szCs w:val="28"/>
        </w:rPr>
        <w:t>》是依据</w:t>
      </w:r>
      <w:r>
        <w:rPr>
          <w:rFonts w:hint="eastAsia"/>
          <w:sz w:val="24"/>
          <w:szCs w:val="28"/>
          <w:lang w:val="en-US" w:eastAsia="zh-CN"/>
        </w:rPr>
        <w:t>2024年4月的</w:t>
      </w:r>
      <w:r>
        <w:rPr>
          <w:rFonts w:hint="eastAsia"/>
          <w:sz w:val="24"/>
          <w:szCs w:val="28"/>
        </w:rPr>
        <w:t>《关于下达</w:t>
      </w:r>
      <w:r>
        <w:rPr>
          <w:sz w:val="24"/>
          <w:szCs w:val="28"/>
        </w:rPr>
        <w:t>20</w:t>
      </w:r>
      <w:r>
        <w:rPr>
          <w:rFonts w:hint="eastAsia"/>
          <w:sz w:val="24"/>
          <w:szCs w:val="28"/>
          <w:lang w:val="en-US" w:eastAsia="zh-CN"/>
        </w:rPr>
        <w:t>24</w:t>
      </w:r>
      <w:r>
        <w:rPr>
          <w:rFonts w:hint="eastAsia"/>
          <w:sz w:val="24"/>
          <w:szCs w:val="28"/>
        </w:rPr>
        <w:t>年农业国家、行业标准制修订项目</w:t>
      </w:r>
      <w:r>
        <w:rPr>
          <w:rFonts w:hint="eastAsia"/>
          <w:sz w:val="24"/>
          <w:szCs w:val="28"/>
          <w:lang w:eastAsia="zh-CN"/>
        </w:rPr>
        <w:t>计划</w:t>
      </w:r>
      <w:r>
        <w:rPr>
          <w:rFonts w:hint="eastAsia"/>
          <w:sz w:val="24"/>
          <w:szCs w:val="28"/>
        </w:rPr>
        <w:t>的通知》（农</w:t>
      </w:r>
      <w:r>
        <w:rPr>
          <w:rFonts w:hint="eastAsia"/>
          <w:sz w:val="24"/>
          <w:szCs w:val="28"/>
          <w:lang w:eastAsia="zh-CN"/>
        </w:rPr>
        <w:t>质标函</w:t>
      </w:r>
      <w:r>
        <w:rPr>
          <w:sz w:val="24"/>
          <w:szCs w:val="28"/>
        </w:rPr>
        <w:t>[20</w:t>
      </w:r>
      <w:r>
        <w:rPr>
          <w:rFonts w:hint="eastAsia"/>
          <w:sz w:val="24"/>
          <w:szCs w:val="28"/>
          <w:lang w:val="en-US" w:eastAsia="zh-CN"/>
        </w:rPr>
        <w:t>24</w:t>
      </w:r>
      <w:r>
        <w:rPr>
          <w:sz w:val="24"/>
          <w:szCs w:val="28"/>
        </w:rPr>
        <w:t>]</w:t>
      </w:r>
      <w:r>
        <w:rPr>
          <w:rFonts w:hint="eastAsia"/>
          <w:sz w:val="24"/>
          <w:szCs w:val="28"/>
          <w:lang w:val="en-US" w:eastAsia="zh-CN"/>
        </w:rPr>
        <w:t>71</w:t>
      </w:r>
      <w:r>
        <w:rPr>
          <w:rFonts w:hint="eastAsia"/>
          <w:sz w:val="24"/>
          <w:szCs w:val="28"/>
        </w:rPr>
        <w:t>号）计划编制。</w:t>
      </w:r>
      <w:r>
        <w:rPr>
          <w:rFonts w:hint="eastAsia" w:ascii="Times New Roman" w:hAnsi="Times New Roman" w:eastAsia="宋体" w:cs="Times New Roman"/>
          <w:sz w:val="24"/>
          <w:szCs w:val="28"/>
          <w:lang w:val="en-US" w:eastAsia="zh-CN"/>
        </w:rPr>
        <w:t>本标准是由农业农村部计划财务司下达，由农业农村部工程建设服务中心编制完成，本标准编制工作主要完成人员：谭瑶瑶、张莉敏、王艳霞、马元博、俞宏军、孔贵生、耿如林、刘冰心、蔡小婷。</w:t>
      </w:r>
    </w:p>
    <w:p>
      <w:pPr>
        <w:pStyle w:val="4"/>
        <w:rPr>
          <w:rFonts w:ascii="Times New Roman" w:hAnsi="Times New Roman"/>
        </w:rPr>
      </w:pPr>
      <w:bookmarkStart w:id="38" w:name="_Toc27596"/>
      <w:bookmarkStart w:id="39" w:name="_Toc22092"/>
      <w:r>
        <w:rPr>
          <w:rFonts w:hint="eastAsia" w:ascii="Times New Roman" w:hAnsi="Times New Roman"/>
        </w:rPr>
        <w:t>制定背景</w:t>
      </w:r>
      <w:bookmarkEnd w:id="38"/>
      <w:bookmarkEnd w:id="39"/>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党的二十大报告提出，构建高水平社会主义市场经济体制，健全宏观经济治理体系，增强投资对优化供给结构的关键作用。作为拉动经济增长的“三驾马车”之一，积极扩大有效投资有利于增强经济增长的内生动力。今年以来我国持续扩大有效投资，投资增速较去年提升，进一步夯实经济高质量发展基础。高质量的投资需要高质量的决策，可行性研究是投资决策的核心环节，加强投资项目可行性研究是提升投资决策科学化水平的必然要求。为坚持科学决策、民主决策、依法决策，提升我国投资项目前期论证的水平和质量，促进投资高质量发展，国家发改委根据《中共中央、国务院关于深化投融资体制改革的意见》《政府投资条例》《企业投资项目核准和备案管理条例》等规定，于2023年3月正式发布了《政府投资项目可行性研究报告编制通用大纲》和《企业投资项目可行性研究报告编制参考大纲》。</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中央一号文件连续20年聚焦“三农”工作，当前稳住农业基本盘、做好“三农”工作，接续全面推进乡村振兴，确保农业稳产增产、农民稳步增收、农村稳定安宁是从容应对加速演进的百年变局，推动经济社会平稳健康发展的国家重大战略需要。2018年农业农村部整合组建以后，农业农村投资额呈快速增长态势，单个项目投资金额呈明显上升趋势，在发展农业生产、改善科研基础条件、推动规模化和产业化经营等方面作用显著，凸显项目前期工作越发重要。农业农村投资是夯实三农基础、全面推进乡村振兴、加快农业农村现代化、加快建设农业强国的有力保障，各类农业农村建设项目作为支撑农业农村投资的细小构成，其前期工作中的可行性研究环节至关重要，直接影响农业农村投资效果的实现。</w:t>
      </w:r>
    </w:p>
    <w:p>
      <w:pPr>
        <w:adjustRightInd/>
        <w:spacing w:line="360" w:lineRule="auto"/>
        <w:ind w:firstLine="480" w:firstLineChars="200"/>
        <w:rPr>
          <w:rFonts w:hint="eastAsia" w:ascii="Times New Roman" w:hAnsi="Times New Roman" w:eastAsia="宋体" w:cs="Times New Roman"/>
          <w:sz w:val="24"/>
          <w:szCs w:val="28"/>
        </w:rPr>
      </w:pPr>
      <w:r>
        <w:rPr>
          <w:rFonts w:hint="eastAsia" w:ascii="Times New Roman" w:hAnsi="Times New Roman" w:eastAsia="宋体" w:cs="Times New Roman"/>
          <w:sz w:val="24"/>
          <w:szCs w:val="28"/>
          <w:lang w:val="en-US" w:eastAsia="zh-CN"/>
        </w:rPr>
        <w:t>2015年发布的《农业建设项目可行性研究报告编制规程》已不适应2023年3月新发布的《政府投资项目可行性研究报告编制通用大纲》，但农业建设项目因自身特点突出，因此亟需对原有《农业建设项目可行性研究报告编制规程》进行修订，以更好指导农业行业投资前期工作科学开展。</w:t>
      </w:r>
    </w:p>
    <w:p>
      <w:pPr>
        <w:pStyle w:val="4"/>
      </w:pPr>
      <w:bookmarkStart w:id="40" w:name="_Toc14084"/>
      <w:bookmarkStart w:id="41" w:name="_Toc7558"/>
      <w:r>
        <w:rPr>
          <w:rFonts w:hint="eastAsia"/>
        </w:rPr>
        <w:t>起草过程</w:t>
      </w:r>
      <w:bookmarkEnd w:id="40"/>
      <w:bookmarkEnd w:id="41"/>
    </w:p>
    <w:p>
      <w:pPr>
        <w:adjustRightInd/>
        <w:spacing w:line="360" w:lineRule="auto"/>
        <w:ind w:firstLine="480" w:firstLineChars="200"/>
        <w:rPr>
          <w:rFonts w:hint="eastAsia" w:ascii="Times New Roman" w:hAnsi="Times New Roman" w:eastAsia="宋体" w:cs="Times New Roman"/>
          <w:sz w:val="24"/>
          <w:szCs w:val="28"/>
          <w:lang w:val="en-US" w:eastAsia="zh-CN"/>
        </w:rPr>
      </w:pPr>
      <w:bookmarkStart w:id="42" w:name="_Toc531195521"/>
      <w:r>
        <w:rPr>
          <w:rFonts w:hint="eastAsia" w:ascii="Times New Roman" w:hAnsi="Times New Roman" w:eastAsia="宋体" w:cs="Times New Roman"/>
          <w:sz w:val="24"/>
          <w:szCs w:val="28"/>
          <w:lang w:val="en-US" w:eastAsia="zh-CN"/>
        </w:rPr>
        <w:t>（1）启动工作</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根据计划任务书的要求，成立了标准起草小组，由主持人召集编写成员召开标准编制工作启动会，提出编写提纲。</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（2）收集资料</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整理了国内外关于农业建设项目可行性研究报告编制方面的标准和文献，获得了较为丰富的资料。</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（3）调研情况</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向开展农业建设项目可行性研究报告的咨询单位发放了调研问卷，共有25家农业工程咨询公司和设计院填写了问卷，如：农业农村部规划设计研究院、北京东方畅想建筑设计有限公司、北京中宇瑞德建筑设计有限公司、湖北新盛工程项目管理有限公司、湖南省农林工业勘察设计研究总院、中农国科(南京)规划设计有限公司、内蒙古草原勘察设计有限责任公司、中国农业科学院、安徽省农业工程设计院有限公司、新疆兵团勘测设计院集团股份有限公司等多家，收回问卷35份。</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（4）分析研究</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根据调研结果及收集资料的研究分析，分析农业建设项目可行性研究中要特别注意的问题，针对可研新大纲相关内容提出农业建设项目需要更新和调整的具体内容。</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（5）文稿编制</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起草组根据问卷汇总反馈后经过分析和讨论，按照编写提纲，分工完成标准文稿。</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（6）主要起草人及其所做工作</w:t>
      </w:r>
      <w:bookmarkEnd w:id="42"/>
    </w:p>
    <w:p>
      <w:pPr>
        <w:pStyle w:val="9"/>
        <w:keepNext w:val="0"/>
        <w:keepLines w:val="0"/>
        <w:pageBreakBefore w:val="0"/>
        <w:widowControl w:val="0"/>
        <w:kinsoku/>
        <w:wordWrap/>
        <w:overflowPunct/>
        <w:topLinePunct w:val="0"/>
        <w:autoSpaceDE/>
        <w:autoSpaceDN/>
        <w:bidi w:val="0"/>
        <w:adjustRightInd/>
        <w:snapToGrid/>
        <w:spacing w:before="156" w:beforeLines="50"/>
        <w:ind w:firstLine="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w:t>
      </w:r>
      <w:r>
        <w:rPr>
          <w:rFonts w:hint="default" w:ascii="Times New Roman" w:hAnsi="Times New Roman" w:cs="Times New Roman"/>
          <w:color w:val="auto"/>
          <w:sz w:val="21"/>
          <w:szCs w:val="21"/>
        </w:rPr>
        <w:fldChar w:fldCharType="begin"/>
      </w:r>
      <w:r>
        <w:rPr>
          <w:rFonts w:hint="default" w:ascii="Times New Roman" w:hAnsi="Times New Roman" w:cs="Times New Roman"/>
          <w:color w:val="auto"/>
          <w:sz w:val="21"/>
          <w:szCs w:val="21"/>
        </w:rPr>
        <w:instrText xml:space="preserve"> SEQ 表 \* ARABIC </w:instrText>
      </w:r>
      <w:r>
        <w:rPr>
          <w:rFonts w:hint="default" w:ascii="Times New Roman" w:hAnsi="Times New Roman" w:cs="Times New Roman"/>
          <w:color w:val="auto"/>
          <w:sz w:val="21"/>
          <w:szCs w:val="21"/>
        </w:rPr>
        <w:fldChar w:fldCharType="separate"/>
      </w:r>
      <w:r>
        <w:rPr>
          <w:rFonts w:hint="default" w:ascii="Times New Roman" w:hAnsi="Times New Roman" w:cs="Times New Roman"/>
          <w:color w:val="auto"/>
          <w:sz w:val="21"/>
          <w:szCs w:val="21"/>
        </w:rPr>
        <w:t>2</w:t>
      </w:r>
      <w:r>
        <w:rPr>
          <w:rFonts w:hint="default" w:ascii="Times New Roman" w:hAnsi="Times New Roman" w:cs="Times New Roman"/>
          <w:color w:val="auto"/>
          <w:sz w:val="21"/>
          <w:szCs w:val="21"/>
        </w:rPr>
        <w:fldChar w:fldCharType="end"/>
      </w:r>
      <w:r>
        <w:rPr>
          <w:rFonts w:hint="eastAsia" w:ascii="Times New Roman" w:hAnsi="Times New Roman" w:cs="Times New Roman"/>
          <w:color w:val="auto"/>
          <w:sz w:val="21"/>
          <w:szCs w:val="21"/>
          <w:lang w:val="en-US" w:eastAsia="zh-CN"/>
        </w:rPr>
        <w:t xml:space="preserve"> </w:t>
      </w:r>
      <w:r>
        <w:rPr>
          <w:rFonts w:hint="eastAsia" w:ascii="Times New Roman" w:hAnsi="Times New Roman" w:cs="Times New Roman"/>
          <w:color w:val="auto"/>
          <w:sz w:val="21"/>
          <w:szCs w:val="21"/>
        </w:rPr>
        <w:t>标准主要起草人及承担工作</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050"/>
        <w:gridCol w:w="2914"/>
        <w:gridCol w:w="3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490" w:type="pct"/>
            <w:vAlign w:val="center"/>
          </w:tcPr>
          <w:p>
            <w:pPr>
              <w:adjustRightInd/>
              <w:spacing w:line="240" w:lineRule="auto"/>
              <w:jc w:val="center"/>
              <w:rPr>
                <w:b/>
                <w:szCs w:val="21"/>
              </w:rPr>
            </w:pPr>
            <w:r>
              <w:rPr>
                <w:b/>
                <w:szCs w:val="21"/>
              </w:rPr>
              <w:t>序号</w:t>
            </w:r>
          </w:p>
        </w:tc>
        <w:tc>
          <w:tcPr>
            <w:tcW w:w="616" w:type="pct"/>
            <w:vAlign w:val="center"/>
          </w:tcPr>
          <w:p>
            <w:pPr>
              <w:adjustRightInd/>
              <w:spacing w:line="240" w:lineRule="auto"/>
              <w:jc w:val="center"/>
              <w:rPr>
                <w:b/>
                <w:szCs w:val="21"/>
              </w:rPr>
            </w:pPr>
            <w:r>
              <w:rPr>
                <w:b/>
                <w:szCs w:val="21"/>
              </w:rPr>
              <w:t>姓名</w:t>
            </w:r>
          </w:p>
        </w:tc>
        <w:tc>
          <w:tcPr>
            <w:tcW w:w="1709" w:type="pct"/>
            <w:vAlign w:val="center"/>
          </w:tcPr>
          <w:p>
            <w:pPr>
              <w:adjustRightInd/>
              <w:spacing w:line="240" w:lineRule="auto"/>
              <w:jc w:val="center"/>
              <w:rPr>
                <w:b/>
                <w:szCs w:val="21"/>
              </w:rPr>
            </w:pPr>
            <w:r>
              <w:rPr>
                <w:b/>
                <w:szCs w:val="21"/>
              </w:rPr>
              <w:t>工作单位</w:t>
            </w:r>
          </w:p>
        </w:tc>
        <w:tc>
          <w:tcPr>
            <w:tcW w:w="2183" w:type="pct"/>
            <w:vAlign w:val="center"/>
          </w:tcPr>
          <w:p>
            <w:pPr>
              <w:adjustRightInd/>
              <w:spacing w:line="240" w:lineRule="auto"/>
              <w:jc w:val="center"/>
              <w:rPr>
                <w:b/>
                <w:szCs w:val="21"/>
              </w:rPr>
            </w:pPr>
            <w:r>
              <w:rPr>
                <w:b/>
                <w:szCs w:val="21"/>
              </w:rPr>
              <w:t>所做主要工作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0" w:type="pct"/>
            <w:vAlign w:val="center"/>
          </w:tcPr>
          <w:p>
            <w:pPr>
              <w:adjustRightInd/>
              <w:spacing w:line="240" w:lineRule="auto"/>
              <w:jc w:val="center"/>
              <w:rPr>
                <w:szCs w:val="21"/>
              </w:rPr>
            </w:pPr>
            <w:r>
              <w:rPr>
                <w:color w:val="000000" w:themeColor="text1"/>
                <w:szCs w:val="21"/>
                <w14:textFill>
                  <w14:solidFill>
                    <w14:schemeClr w14:val="tx1"/>
                  </w14:solidFill>
                </w14:textFill>
              </w:rPr>
              <w:t>1</w:t>
            </w:r>
          </w:p>
        </w:tc>
        <w:tc>
          <w:tcPr>
            <w:tcW w:w="616" w:type="pct"/>
            <w:vAlign w:val="center"/>
          </w:tcPr>
          <w:p>
            <w:pPr>
              <w:adjustRightInd/>
              <w:spacing w:line="240" w:lineRule="auto"/>
              <w:jc w:val="center"/>
              <w:rPr>
                <w:rFonts w:hint="eastAsia" w:eastAsia="宋体"/>
                <w:szCs w:val="21"/>
                <w:lang w:eastAsia="zh-CN"/>
              </w:rPr>
            </w:pPr>
            <w:r>
              <w:rPr>
                <w:rFonts w:hint="eastAsia"/>
                <w:szCs w:val="21"/>
                <w:lang w:eastAsia="zh-CN"/>
              </w:rPr>
              <w:t>谭瑶瑶</w:t>
            </w:r>
          </w:p>
        </w:tc>
        <w:tc>
          <w:tcPr>
            <w:tcW w:w="1709" w:type="pct"/>
            <w:vAlign w:val="center"/>
          </w:tcPr>
          <w:p>
            <w:pPr>
              <w:adjustRightInd/>
              <w:spacing w:line="240" w:lineRule="auto"/>
              <w:rPr>
                <w:rFonts w:hint="eastAsia" w:eastAsia="宋体"/>
                <w:szCs w:val="21"/>
                <w:lang w:eastAsia="zh-CN"/>
              </w:rPr>
            </w:pPr>
            <w:r>
              <w:rPr>
                <w:rFonts w:hint="eastAsia"/>
                <w:szCs w:val="21"/>
                <w:lang w:eastAsia="zh-CN"/>
              </w:rPr>
              <w:t>农业农村部工程建设服务中心</w:t>
            </w:r>
          </w:p>
        </w:tc>
        <w:tc>
          <w:tcPr>
            <w:tcW w:w="2183" w:type="pct"/>
            <w:vAlign w:val="center"/>
          </w:tcPr>
          <w:p>
            <w:pPr>
              <w:adjustRightInd/>
              <w:spacing w:line="240" w:lineRule="auto"/>
              <w:rPr>
                <w:szCs w:val="21"/>
              </w:rPr>
            </w:pPr>
            <w:r>
              <w:rPr>
                <w:szCs w:val="21"/>
              </w:rPr>
              <w:t>本标准主编。负责组织标准编制大纲、主要内容及征集意见的讨论、修改</w:t>
            </w:r>
            <w:r>
              <w:rPr>
                <w:rFonts w:hint="eastAsia"/>
                <w:szCs w:val="21"/>
              </w:rPr>
              <w:t>，以及</w:t>
            </w:r>
            <w:r>
              <w:rPr>
                <w:szCs w:val="21"/>
              </w:rPr>
              <w:t>标准文本的统稿</w:t>
            </w:r>
            <w:r>
              <w:rPr>
                <w:rFonts w:hint="eastAsia"/>
                <w:szCs w:val="21"/>
              </w:rPr>
              <w:t>、</w:t>
            </w:r>
            <w:r>
              <w:rPr>
                <w:szCs w:val="21"/>
              </w:rPr>
              <w:t>定稿等工作。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0" w:type="pct"/>
            <w:vAlign w:val="center"/>
          </w:tcPr>
          <w:p>
            <w:pPr>
              <w:adjustRightInd/>
              <w:spacing w:line="24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616" w:type="pct"/>
            <w:vAlign w:val="center"/>
          </w:tcPr>
          <w:p>
            <w:pPr>
              <w:adjustRightInd/>
              <w:spacing w:line="240" w:lineRule="auto"/>
              <w:jc w:val="center"/>
              <w:rPr>
                <w:rFonts w:hint="eastAsia" w:eastAsia="宋体"/>
                <w:szCs w:val="21"/>
                <w:lang w:eastAsia="zh-CN"/>
              </w:rPr>
            </w:pPr>
            <w:r>
              <w:rPr>
                <w:rFonts w:hint="eastAsia"/>
                <w:szCs w:val="21"/>
                <w:lang w:eastAsia="zh-CN"/>
              </w:rPr>
              <w:t>张莉敏</w:t>
            </w:r>
          </w:p>
        </w:tc>
        <w:tc>
          <w:tcPr>
            <w:tcW w:w="1709" w:type="pct"/>
            <w:vAlign w:val="center"/>
          </w:tcPr>
          <w:p>
            <w:pPr>
              <w:adjustRightInd/>
              <w:spacing w:line="240" w:lineRule="auto"/>
              <w:rPr>
                <w:szCs w:val="21"/>
              </w:rPr>
            </w:pPr>
            <w:r>
              <w:rPr>
                <w:rFonts w:hint="eastAsia"/>
                <w:szCs w:val="21"/>
                <w:lang w:eastAsia="zh-CN"/>
              </w:rPr>
              <w:t>农业农村部工程建设服务中心</w:t>
            </w:r>
          </w:p>
        </w:tc>
        <w:tc>
          <w:tcPr>
            <w:tcW w:w="2183" w:type="pct"/>
            <w:vAlign w:val="center"/>
          </w:tcPr>
          <w:p>
            <w:pPr>
              <w:adjustRightInd/>
              <w:spacing w:line="240" w:lineRule="auto"/>
              <w:rPr>
                <w:szCs w:val="21"/>
              </w:rPr>
            </w:pPr>
            <w:r>
              <w:rPr>
                <w:szCs w:val="21"/>
              </w:rPr>
              <w:t>负责</w:t>
            </w:r>
            <w:r>
              <w:rPr>
                <w:rFonts w:hint="eastAsia"/>
                <w:szCs w:val="21"/>
              </w:rPr>
              <w:t>标准</w:t>
            </w:r>
            <w:r>
              <w:rPr>
                <w:szCs w:val="21"/>
              </w:rPr>
              <w:t>主要内容的编写，参与修改，并负责起草标准编制说明。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0" w:type="pct"/>
            <w:vAlign w:val="center"/>
          </w:tcPr>
          <w:p>
            <w:pPr>
              <w:adjustRightInd/>
              <w:spacing w:line="240" w:lineRule="auto"/>
              <w:jc w:val="center"/>
              <w:rPr>
                <w:szCs w:val="21"/>
              </w:rPr>
            </w:pPr>
            <w:r>
              <w:rPr>
                <w:rFonts w:hint="eastAsia"/>
                <w:color w:val="000000" w:themeColor="text1"/>
                <w:szCs w:val="21"/>
                <w14:textFill>
                  <w14:solidFill>
                    <w14:schemeClr w14:val="tx1"/>
                  </w14:solidFill>
                </w14:textFill>
              </w:rPr>
              <w:t>3</w:t>
            </w:r>
          </w:p>
        </w:tc>
        <w:tc>
          <w:tcPr>
            <w:tcW w:w="616" w:type="pct"/>
            <w:vAlign w:val="center"/>
          </w:tcPr>
          <w:p>
            <w:pPr>
              <w:adjustRightInd/>
              <w:spacing w:line="240" w:lineRule="auto"/>
              <w:jc w:val="center"/>
              <w:rPr>
                <w:rFonts w:hint="eastAsia" w:eastAsia="宋体"/>
                <w:szCs w:val="21"/>
                <w:lang w:eastAsia="zh-CN"/>
              </w:rPr>
            </w:pPr>
            <w:r>
              <w:rPr>
                <w:rFonts w:hint="eastAsia"/>
                <w:szCs w:val="21"/>
                <w:lang w:eastAsia="zh-CN"/>
              </w:rPr>
              <w:t>王艳霞</w:t>
            </w:r>
          </w:p>
        </w:tc>
        <w:tc>
          <w:tcPr>
            <w:tcW w:w="1709" w:type="pct"/>
            <w:vAlign w:val="center"/>
          </w:tcPr>
          <w:p>
            <w:pPr>
              <w:adjustRightInd/>
              <w:spacing w:line="240" w:lineRule="auto"/>
              <w:rPr>
                <w:szCs w:val="21"/>
              </w:rPr>
            </w:pPr>
            <w:r>
              <w:rPr>
                <w:rFonts w:hint="eastAsia"/>
                <w:szCs w:val="21"/>
                <w:lang w:eastAsia="zh-CN"/>
              </w:rPr>
              <w:t>农业农村部工程建设服务中心</w:t>
            </w:r>
          </w:p>
        </w:tc>
        <w:tc>
          <w:tcPr>
            <w:tcW w:w="2183" w:type="pct"/>
            <w:vAlign w:val="center"/>
          </w:tcPr>
          <w:p>
            <w:pPr>
              <w:adjustRightInd/>
              <w:spacing w:line="240" w:lineRule="auto"/>
              <w:rPr>
                <w:szCs w:val="21"/>
              </w:rPr>
            </w:pPr>
            <w:r>
              <w:rPr>
                <w:szCs w:val="21"/>
              </w:rPr>
              <w:t>负责</w:t>
            </w:r>
            <w:r>
              <w:rPr>
                <w:rFonts w:hint="eastAsia"/>
                <w:szCs w:val="21"/>
              </w:rPr>
              <w:t>标准</w:t>
            </w:r>
            <w:r>
              <w:rPr>
                <w:szCs w:val="21"/>
              </w:rPr>
              <w:t>主要内容的编写，参与修改，并负责起草标准编制说明。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90" w:type="pct"/>
            <w:vAlign w:val="center"/>
          </w:tcPr>
          <w:p>
            <w:pPr>
              <w:adjustRightInd/>
              <w:spacing w:line="240" w:lineRule="auto"/>
              <w:jc w:val="center"/>
              <w:rPr>
                <w:szCs w:val="21"/>
              </w:rPr>
            </w:pPr>
            <w:r>
              <w:rPr>
                <w:rFonts w:hint="eastAsia"/>
                <w:color w:val="000000" w:themeColor="text1"/>
                <w:szCs w:val="21"/>
                <w14:textFill>
                  <w14:solidFill>
                    <w14:schemeClr w14:val="tx1"/>
                  </w14:solidFill>
                </w14:textFill>
              </w:rPr>
              <w:t>4</w:t>
            </w:r>
          </w:p>
        </w:tc>
        <w:tc>
          <w:tcPr>
            <w:tcW w:w="616" w:type="pct"/>
            <w:vAlign w:val="center"/>
          </w:tcPr>
          <w:p>
            <w:pPr>
              <w:adjustRightInd/>
              <w:spacing w:line="240" w:lineRule="auto"/>
              <w:jc w:val="center"/>
              <w:rPr>
                <w:rFonts w:hint="eastAsia" w:eastAsia="宋体"/>
                <w:szCs w:val="21"/>
                <w:lang w:eastAsia="zh-CN"/>
              </w:rPr>
            </w:pPr>
            <w:r>
              <w:rPr>
                <w:rFonts w:hint="eastAsia"/>
                <w:szCs w:val="21"/>
                <w:lang w:eastAsia="zh-CN"/>
              </w:rPr>
              <w:t>马元博</w:t>
            </w:r>
          </w:p>
        </w:tc>
        <w:tc>
          <w:tcPr>
            <w:tcW w:w="1709" w:type="pct"/>
            <w:vAlign w:val="center"/>
          </w:tcPr>
          <w:p>
            <w:pPr>
              <w:adjustRightInd/>
              <w:spacing w:line="240" w:lineRule="auto"/>
              <w:rPr>
                <w:szCs w:val="21"/>
              </w:rPr>
            </w:pPr>
            <w:r>
              <w:rPr>
                <w:rFonts w:hint="eastAsia"/>
                <w:szCs w:val="21"/>
                <w:lang w:eastAsia="zh-CN"/>
              </w:rPr>
              <w:t>农业农村部工程建设服务中心</w:t>
            </w:r>
          </w:p>
        </w:tc>
        <w:tc>
          <w:tcPr>
            <w:tcW w:w="2183" w:type="pct"/>
            <w:vAlign w:val="center"/>
          </w:tcPr>
          <w:p>
            <w:pPr>
              <w:adjustRightInd/>
              <w:spacing w:line="240" w:lineRule="auto"/>
              <w:rPr>
                <w:szCs w:val="21"/>
              </w:rPr>
            </w:pPr>
            <w:r>
              <w:rPr>
                <w:szCs w:val="21"/>
              </w:rPr>
              <w:t>负责</w:t>
            </w:r>
            <w:r>
              <w:rPr>
                <w:rFonts w:hint="eastAsia"/>
                <w:szCs w:val="21"/>
              </w:rPr>
              <w:t>标准</w:t>
            </w:r>
            <w:r>
              <w:rPr>
                <w:szCs w:val="21"/>
              </w:rPr>
              <w:t>主要内容的编写，参与修改</w:t>
            </w:r>
            <w:r>
              <w:rPr>
                <w:rFonts w:hint="eastAsia"/>
                <w:szCs w:val="21"/>
                <w:lang w:eastAsia="zh-CN"/>
              </w:rPr>
              <w:t>，</w:t>
            </w:r>
            <w:r>
              <w:rPr>
                <w:szCs w:val="21"/>
              </w:rPr>
              <w:t>并负责起草标准编制说明。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490" w:type="pct"/>
            <w:vAlign w:val="center"/>
          </w:tcPr>
          <w:p>
            <w:pPr>
              <w:adjustRightInd/>
              <w:spacing w:line="240" w:lineRule="auto"/>
              <w:jc w:val="center"/>
              <w:rPr>
                <w:szCs w:val="21"/>
              </w:rPr>
            </w:pPr>
            <w:r>
              <w:rPr>
                <w:rFonts w:hint="eastAsia"/>
                <w:color w:val="000000" w:themeColor="text1"/>
                <w:szCs w:val="21"/>
                <w14:textFill>
                  <w14:solidFill>
                    <w14:schemeClr w14:val="tx1"/>
                  </w14:solidFill>
                </w14:textFill>
              </w:rPr>
              <w:t>5</w:t>
            </w:r>
          </w:p>
        </w:tc>
        <w:tc>
          <w:tcPr>
            <w:tcW w:w="616" w:type="pct"/>
            <w:vAlign w:val="center"/>
          </w:tcPr>
          <w:p>
            <w:pPr>
              <w:adjustRightInd/>
              <w:spacing w:line="240" w:lineRule="auto"/>
              <w:jc w:val="center"/>
              <w:rPr>
                <w:rFonts w:hint="eastAsia" w:eastAsia="宋体"/>
                <w:szCs w:val="21"/>
                <w:lang w:val="en-US" w:eastAsia="zh-CN"/>
              </w:rPr>
            </w:pPr>
            <w:r>
              <w:rPr>
                <w:rFonts w:hint="eastAsia"/>
                <w:szCs w:val="21"/>
                <w:lang w:val="en-US" w:eastAsia="zh-CN"/>
              </w:rPr>
              <w:t>俞宏军</w:t>
            </w:r>
          </w:p>
        </w:tc>
        <w:tc>
          <w:tcPr>
            <w:tcW w:w="1709" w:type="pct"/>
            <w:vAlign w:val="center"/>
          </w:tcPr>
          <w:p>
            <w:pPr>
              <w:adjustRightInd/>
              <w:spacing w:line="240" w:lineRule="auto"/>
              <w:rPr>
                <w:szCs w:val="21"/>
              </w:rPr>
            </w:pPr>
            <w:r>
              <w:rPr>
                <w:rFonts w:hint="eastAsia"/>
                <w:szCs w:val="21"/>
                <w:lang w:eastAsia="zh-CN"/>
              </w:rPr>
              <w:t>农业农村部工程建设服务中心</w:t>
            </w:r>
          </w:p>
        </w:tc>
        <w:tc>
          <w:tcPr>
            <w:tcW w:w="2183" w:type="pct"/>
            <w:vAlign w:val="center"/>
          </w:tcPr>
          <w:p>
            <w:pPr>
              <w:adjustRightInd/>
              <w:spacing w:line="240" w:lineRule="auto"/>
              <w:rPr>
                <w:rFonts w:hint="eastAsia" w:eastAsia="宋体"/>
                <w:szCs w:val="21"/>
                <w:lang w:eastAsia="zh-CN"/>
              </w:rPr>
            </w:pPr>
            <w:r>
              <w:rPr>
                <w:szCs w:val="21"/>
              </w:rPr>
              <w:t>负责</w:t>
            </w:r>
            <w:r>
              <w:rPr>
                <w:rFonts w:hint="eastAsia"/>
                <w:szCs w:val="21"/>
              </w:rPr>
              <w:t>标准</w:t>
            </w:r>
            <w:r>
              <w:rPr>
                <w:szCs w:val="21"/>
              </w:rPr>
              <w:t>主要内容的</w:t>
            </w:r>
            <w:r>
              <w:rPr>
                <w:rFonts w:hint="eastAsia"/>
                <w:szCs w:val="21"/>
                <w:lang w:eastAsia="zh-CN"/>
              </w:rPr>
              <w:t>审核把关，</w:t>
            </w:r>
            <w:r>
              <w:rPr>
                <w:rFonts w:hint="eastAsia"/>
                <w:color w:val="000000" w:themeColor="text1"/>
                <w:szCs w:val="21"/>
                <w:lang w:eastAsia="zh-CN"/>
                <w14:textFill>
                  <w14:solidFill>
                    <w14:schemeClr w14:val="tx1"/>
                  </w14:solidFill>
                </w14:textFill>
              </w:rPr>
              <w:t>参与</w:t>
            </w:r>
            <w:r>
              <w:rPr>
                <w:rFonts w:hint="eastAsia"/>
                <w:color w:val="000000" w:themeColor="text1"/>
                <w:szCs w:val="21"/>
                <w14:textFill>
                  <w14:solidFill>
                    <w14:schemeClr w14:val="tx1"/>
                  </w14:solidFill>
                </w14:textFill>
              </w:rPr>
              <w:t>标准编写</w:t>
            </w:r>
            <w:r>
              <w:rPr>
                <w:rFonts w:hint="eastAsia"/>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490" w:type="pct"/>
            <w:vAlign w:val="center"/>
          </w:tcPr>
          <w:p>
            <w:pPr>
              <w:adjustRightInd/>
              <w:spacing w:line="240" w:lineRule="auto"/>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616" w:type="pct"/>
            <w:vAlign w:val="center"/>
          </w:tcPr>
          <w:p>
            <w:pPr>
              <w:adjustRightInd/>
              <w:spacing w:line="240" w:lineRule="auto"/>
              <w:jc w:val="center"/>
              <w:rPr>
                <w:rFonts w:hint="eastAsia" w:eastAsia="宋体"/>
                <w:szCs w:val="21"/>
                <w:lang w:eastAsia="zh-CN"/>
              </w:rPr>
            </w:pPr>
            <w:r>
              <w:rPr>
                <w:rFonts w:hint="eastAsia"/>
                <w:szCs w:val="21"/>
                <w:lang w:eastAsia="zh-CN"/>
              </w:rPr>
              <w:t>孔贵生</w:t>
            </w:r>
          </w:p>
        </w:tc>
        <w:tc>
          <w:tcPr>
            <w:tcW w:w="1709" w:type="pct"/>
            <w:vAlign w:val="center"/>
          </w:tcPr>
          <w:p>
            <w:pPr>
              <w:adjustRightInd/>
              <w:spacing w:line="240" w:lineRule="auto"/>
              <w:rPr>
                <w:szCs w:val="21"/>
              </w:rPr>
            </w:pPr>
            <w:r>
              <w:rPr>
                <w:rFonts w:hint="eastAsia"/>
                <w:szCs w:val="21"/>
                <w:lang w:eastAsia="zh-CN"/>
              </w:rPr>
              <w:t>农业农村部工程建设服务中心</w:t>
            </w:r>
          </w:p>
        </w:tc>
        <w:tc>
          <w:tcPr>
            <w:tcW w:w="2183" w:type="pct"/>
            <w:vAlign w:val="center"/>
          </w:tcPr>
          <w:p>
            <w:pPr>
              <w:adjustRightInd/>
              <w:spacing w:line="240" w:lineRule="auto"/>
              <w:rPr>
                <w:rFonts w:hint="eastAsia"/>
                <w:color w:val="000000" w:themeColor="text1"/>
                <w:szCs w:val="21"/>
                <w14:textFill>
                  <w14:solidFill>
                    <w14:schemeClr w14:val="tx1"/>
                  </w14:solidFill>
                </w14:textFill>
              </w:rPr>
            </w:pPr>
            <w:r>
              <w:rPr>
                <w:szCs w:val="21"/>
              </w:rPr>
              <w:t>负责</w:t>
            </w:r>
            <w:r>
              <w:rPr>
                <w:rFonts w:hint="eastAsia"/>
                <w:szCs w:val="21"/>
              </w:rPr>
              <w:t>标准</w:t>
            </w:r>
            <w:r>
              <w:rPr>
                <w:szCs w:val="21"/>
              </w:rPr>
              <w:t>主要内容的</w:t>
            </w:r>
            <w:r>
              <w:rPr>
                <w:rFonts w:hint="eastAsia"/>
                <w:szCs w:val="21"/>
                <w:lang w:eastAsia="zh-CN"/>
              </w:rPr>
              <w:t>审核把关，</w:t>
            </w:r>
            <w:r>
              <w:rPr>
                <w:rFonts w:hint="eastAsia"/>
                <w:color w:val="000000" w:themeColor="text1"/>
                <w:szCs w:val="21"/>
                <w:lang w:eastAsia="zh-CN"/>
                <w14:textFill>
                  <w14:solidFill>
                    <w14:schemeClr w14:val="tx1"/>
                  </w14:solidFill>
                </w14:textFill>
              </w:rPr>
              <w:t>参与</w:t>
            </w:r>
            <w:r>
              <w:rPr>
                <w:rFonts w:hint="eastAsia"/>
                <w:color w:val="000000" w:themeColor="text1"/>
                <w:szCs w:val="21"/>
                <w14:textFill>
                  <w14:solidFill>
                    <w14:schemeClr w14:val="tx1"/>
                  </w14:solidFill>
                </w14:textFill>
              </w:rPr>
              <w:t>标准编写</w:t>
            </w:r>
            <w:r>
              <w:rPr>
                <w:rFonts w:hint="eastAsia"/>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490" w:type="pct"/>
            <w:vAlign w:val="center"/>
          </w:tcPr>
          <w:p>
            <w:pPr>
              <w:adjustRightInd/>
              <w:spacing w:line="240" w:lineRule="auto"/>
              <w:jc w:val="center"/>
              <w:rPr>
                <w:szCs w:val="21"/>
              </w:rPr>
            </w:pPr>
            <w:r>
              <w:rPr>
                <w:rFonts w:hint="eastAsia"/>
                <w:color w:val="000000" w:themeColor="text1"/>
                <w:szCs w:val="21"/>
                <w14:textFill>
                  <w14:solidFill>
                    <w14:schemeClr w14:val="tx1"/>
                  </w14:solidFill>
                </w14:textFill>
              </w:rPr>
              <w:t>7</w:t>
            </w:r>
          </w:p>
        </w:tc>
        <w:tc>
          <w:tcPr>
            <w:tcW w:w="616" w:type="pct"/>
            <w:vAlign w:val="center"/>
          </w:tcPr>
          <w:p>
            <w:pPr>
              <w:adjustRightInd/>
              <w:spacing w:line="240" w:lineRule="auto"/>
              <w:jc w:val="center"/>
              <w:rPr>
                <w:rFonts w:hint="eastAsia" w:eastAsia="宋体"/>
                <w:szCs w:val="21"/>
                <w:lang w:eastAsia="zh-CN"/>
              </w:rPr>
            </w:pPr>
            <w:r>
              <w:rPr>
                <w:rFonts w:hint="eastAsia"/>
                <w:szCs w:val="21"/>
                <w:lang w:eastAsia="zh-CN"/>
              </w:rPr>
              <w:t>耿如林</w:t>
            </w:r>
          </w:p>
        </w:tc>
        <w:tc>
          <w:tcPr>
            <w:tcW w:w="1709" w:type="pct"/>
            <w:vAlign w:val="center"/>
          </w:tcPr>
          <w:p>
            <w:pPr>
              <w:adjustRightInd/>
              <w:spacing w:line="240" w:lineRule="auto"/>
              <w:rPr>
                <w:szCs w:val="21"/>
              </w:rPr>
            </w:pPr>
            <w:r>
              <w:rPr>
                <w:rFonts w:hint="eastAsia"/>
                <w:szCs w:val="21"/>
                <w:lang w:eastAsia="zh-CN"/>
              </w:rPr>
              <w:t>农业农村部工程建设服务中心</w:t>
            </w:r>
          </w:p>
        </w:tc>
        <w:tc>
          <w:tcPr>
            <w:tcW w:w="2183" w:type="pct"/>
            <w:vAlign w:val="center"/>
          </w:tcPr>
          <w:p>
            <w:pPr>
              <w:adjustRightInd/>
              <w:spacing w:line="240" w:lineRule="auto"/>
              <w:rPr>
                <w:szCs w:val="21"/>
              </w:rPr>
            </w:pPr>
            <w:r>
              <w:rPr>
                <w:szCs w:val="21"/>
              </w:rPr>
              <w:t>负责</w:t>
            </w:r>
            <w:r>
              <w:rPr>
                <w:rFonts w:hint="eastAsia"/>
                <w:szCs w:val="21"/>
              </w:rPr>
              <w:t>标准</w:t>
            </w:r>
            <w:r>
              <w:rPr>
                <w:szCs w:val="21"/>
              </w:rPr>
              <w:t>主要内容的</w:t>
            </w:r>
            <w:r>
              <w:rPr>
                <w:rFonts w:hint="eastAsia"/>
                <w:szCs w:val="21"/>
                <w:lang w:eastAsia="zh-CN"/>
              </w:rPr>
              <w:t>审核把关，</w:t>
            </w:r>
            <w:r>
              <w:rPr>
                <w:rFonts w:hint="eastAsia"/>
                <w:color w:val="000000" w:themeColor="text1"/>
                <w:szCs w:val="21"/>
                <w:lang w:eastAsia="zh-CN"/>
                <w14:textFill>
                  <w14:solidFill>
                    <w14:schemeClr w14:val="tx1"/>
                  </w14:solidFill>
                </w14:textFill>
              </w:rPr>
              <w:t>参与</w:t>
            </w:r>
            <w:r>
              <w:rPr>
                <w:rFonts w:hint="eastAsia"/>
                <w:color w:val="000000" w:themeColor="text1"/>
                <w:szCs w:val="21"/>
                <w14:textFill>
                  <w14:solidFill>
                    <w14:schemeClr w14:val="tx1"/>
                  </w14:solidFill>
                </w14:textFill>
              </w:rPr>
              <w:t>标准编写</w:t>
            </w:r>
            <w:r>
              <w:rPr>
                <w:rFonts w:hint="eastAsia"/>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490" w:type="pct"/>
            <w:vAlign w:val="center"/>
          </w:tcPr>
          <w:p>
            <w:pPr>
              <w:adjustRightInd/>
              <w:spacing w:line="240" w:lineRule="auto"/>
              <w:jc w:val="center"/>
              <w:rPr>
                <w:szCs w:val="21"/>
              </w:rPr>
            </w:pPr>
            <w:r>
              <w:rPr>
                <w:rFonts w:hint="eastAsia"/>
                <w:color w:val="000000" w:themeColor="text1"/>
                <w:szCs w:val="21"/>
                <w14:textFill>
                  <w14:solidFill>
                    <w14:schemeClr w14:val="tx1"/>
                  </w14:solidFill>
                </w14:textFill>
              </w:rPr>
              <w:t>8</w:t>
            </w:r>
          </w:p>
        </w:tc>
        <w:tc>
          <w:tcPr>
            <w:tcW w:w="616" w:type="pct"/>
            <w:vAlign w:val="center"/>
          </w:tcPr>
          <w:p>
            <w:pPr>
              <w:adjustRightInd/>
              <w:spacing w:line="240" w:lineRule="auto"/>
              <w:jc w:val="center"/>
              <w:rPr>
                <w:rFonts w:hint="eastAsia" w:eastAsia="宋体"/>
                <w:szCs w:val="21"/>
                <w:lang w:eastAsia="zh-CN"/>
              </w:rPr>
            </w:pPr>
            <w:r>
              <w:rPr>
                <w:rFonts w:hint="eastAsia"/>
                <w:szCs w:val="21"/>
                <w:lang w:eastAsia="zh-CN"/>
              </w:rPr>
              <w:t>刘冰心</w:t>
            </w:r>
          </w:p>
        </w:tc>
        <w:tc>
          <w:tcPr>
            <w:tcW w:w="1709" w:type="pct"/>
            <w:vAlign w:val="center"/>
          </w:tcPr>
          <w:p>
            <w:pPr>
              <w:adjustRightInd/>
              <w:spacing w:line="240" w:lineRule="auto"/>
              <w:rPr>
                <w:szCs w:val="21"/>
              </w:rPr>
            </w:pPr>
            <w:r>
              <w:rPr>
                <w:rFonts w:hint="eastAsia"/>
                <w:szCs w:val="21"/>
                <w:lang w:eastAsia="zh-CN"/>
              </w:rPr>
              <w:t>农业农村部工程建设服务中心</w:t>
            </w:r>
          </w:p>
        </w:tc>
        <w:tc>
          <w:tcPr>
            <w:tcW w:w="2183" w:type="pct"/>
            <w:vAlign w:val="center"/>
          </w:tcPr>
          <w:p>
            <w:pPr>
              <w:adjustRightInd/>
              <w:spacing w:line="240" w:lineRule="auto"/>
              <w:rPr>
                <w:szCs w:val="21"/>
              </w:rPr>
            </w:pPr>
            <w:r>
              <w:rPr>
                <w:rFonts w:hint="eastAsia"/>
                <w:color w:val="000000" w:themeColor="text1"/>
                <w:szCs w:val="21"/>
                <w:lang w:eastAsia="zh-CN"/>
                <w14:textFill>
                  <w14:solidFill>
                    <w14:schemeClr w14:val="tx1"/>
                  </w14:solidFill>
                </w14:textFill>
              </w:rPr>
              <w:t>参与</w:t>
            </w:r>
            <w:r>
              <w:rPr>
                <w:rFonts w:hint="eastAsia"/>
                <w:color w:val="000000" w:themeColor="text1"/>
                <w:szCs w:val="21"/>
                <w14:textFill>
                  <w14:solidFill>
                    <w14:schemeClr w14:val="tx1"/>
                  </w14:solidFill>
                </w14:textFill>
              </w:rPr>
              <w:t>标准编写</w:t>
            </w:r>
            <w:r>
              <w:rPr>
                <w:rFonts w:hint="eastAsia"/>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90" w:type="pct"/>
            <w:vAlign w:val="center"/>
          </w:tcPr>
          <w:p>
            <w:pPr>
              <w:adjustRightInd/>
              <w:spacing w:line="240" w:lineRule="auto"/>
              <w:jc w:val="center"/>
              <w:rPr>
                <w:szCs w:val="21"/>
              </w:rPr>
            </w:pPr>
            <w:r>
              <w:rPr>
                <w:rFonts w:hint="eastAsia"/>
                <w:color w:val="000000" w:themeColor="text1"/>
                <w:szCs w:val="21"/>
                <w14:textFill>
                  <w14:solidFill>
                    <w14:schemeClr w14:val="tx1"/>
                  </w14:solidFill>
                </w14:textFill>
              </w:rPr>
              <w:t>9</w:t>
            </w:r>
          </w:p>
        </w:tc>
        <w:tc>
          <w:tcPr>
            <w:tcW w:w="616" w:type="pct"/>
            <w:vAlign w:val="center"/>
          </w:tcPr>
          <w:p>
            <w:pPr>
              <w:adjustRightInd/>
              <w:spacing w:line="240" w:lineRule="auto"/>
              <w:jc w:val="center"/>
              <w:rPr>
                <w:rFonts w:hint="eastAsia" w:eastAsia="宋体"/>
                <w:szCs w:val="21"/>
                <w:lang w:eastAsia="zh-CN"/>
              </w:rPr>
            </w:pPr>
            <w:r>
              <w:rPr>
                <w:rFonts w:hint="eastAsia"/>
                <w:szCs w:val="21"/>
                <w:lang w:eastAsia="zh-CN"/>
              </w:rPr>
              <w:t>蔡小婷</w:t>
            </w:r>
          </w:p>
        </w:tc>
        <w:tc>
          <w:tcPr>
            <w:tcW w:w="1709" w:type="pct"/>
            <w:vAlign w:val="center"/>
          </w:tcPr>
          <w:p>
            <w:pPr>
              <w:adjustRightInd/>
              <w:spacing w:line="240" w:lineRule="auto"/>
              <w:rPr>
                <w:szCs w:val="21"/>
              </w:rPr>
            </w:pPr>
            <w:r>
              <w:rPr>
                <w:rFonts w:hint="eastAsia"/>
                <w:szCs w:val="21"/>
                <w:lang w:eastAsia="zh-CN"/>
              </w:rPr>
              <w:t>农业农村部工程建设服务中心</w:t>
            </w:r>
          </w:p>
        </w:tc>
        <w:tc>
          <w:tcPr>
            <w:tcW w:w="2183" w:type="pct"/>
            <w:vAlign w:val="center"/>
          </w:tcPr>
          <w:p>
            <w:pPr>
              <w:adjustRightInd/>
              <w:spacing w:line="240" w:lineRule="auto"/>
              <w:rPr>
                <w:szCs w:val="21"/>
              </w:rPr>
            </w:pPr>
            <w:r>
              <w:rPr>
                <w:rFonts w:hint="eastAsia"/>
                <w:color w:val="000000" w:themeColor="text1"/>
                <w:szCs w:val="21"/>
                <w:lang w:eastAsia="zh-CN"/>
                <w14:textFill>
                  <w14:solidFill>
                    <w14:schemeClr w14:val="tx1"/>
                  </w14:solidFill>
                </w14:textFill>
              </w:rPr>
              <w:t>参与</w:t>
            </w:r>
            <w:r>
              <w:rPr>
                <w:rFonts w:hint="eastAsia"/>
                <w:color w:val="000000" w:themeColor="text1"/>
                <w:szCs w:val="21"/>
                <w14:textFill>
                  <w14:solidFill>
                    <w14:schemeClr w14:val="tx1"/>
                  </w14:solidFill>
                </w14:textFill>
              </w:rPr>
              <w:t>标准编写</w:t>
            </w:r>
            <w:r>
              <w:rPr>
                <w:rFonts w:hint="eastAsia"/>
                <w:color w:val="000000" w:themeColor="text1"/>
                <w:szCs w:val="21"/>
                <w:lang w:eastAsia="zh-CN"/>
                <w14:textFill>
                  <w14:solidFill>
                    <w14:schemeClr w14:val="tx1"/>
                  </w14:solidFill>
                </w14:textFill>
              </w:rPr>
              <w:t>。</w:t>
            </w:r>
          </w:p>
        </w:tc>
      </w:tr>
    </w:tbl>
    <w:p/>
    <w:p>
      <w:pPr>
        <w:pStyle w:val="3"/>
      </w:pPr>
      <w:bookmarkStart w:id="43" w:name="_Toc30024"/>
      <w:bookmarkStart w:id="44" w:name="_Toc28900"/>
      <w:r>
        <w:rPr>
          <w:rFonts w:hint="eastAsia" w:ascii="Times New Roman" w:hAnsi="Times New Roman"/>
        </w:rPr>
        <w:t>标准</w:t>
      </w:r>
      <w:r>
        <w:rPr>
          <w:rFonts w:ascii="Times New Roman" w:hAnsi="Times New Roman"/>
        </w:rPr>
        <w:t>编制原则</w:t>
      </w:r>
      <w:r>
        <w:rPr>
          <w:rFonts w:hint="eastAsia" w:ascii="Times New Roman" w:hAnsi="Times New Roman"/>
        </w:rPr>
        <w:t>，主要内容及其确定依据</w:t>
      </w:r>
      <w:bookmarkEnd w:id="43"/>
      <w:bookmarkEnd w:id="44"/>
    </w:p>
    <w:p>
      <w:pPr>
        <w:pStyle w:val="4"/>
      </w:pPr>
      <w:bookmarkStart w:id="45" w:name="_Toc405558603"/>
      <w:bookmarkStart w:id="46" w:name="_Toc405845509"/>
      <w:bookmarkStart w:id="47" w:name="_Toc16985"/>
      <w:bookmarkStart w:id="48" w:name="_Toc44002657"/>
      <w:r>
        <w:t>标准编制原则</w:t>
      </w:r>
      <w:bookmarkEnd w:id="45"/>
      <w:bookmarkEnd w:id="46"/>
      <w:bookmarkEnd w:id="47"/>
      <w:bookmarkEnd w:id="48"/>
    </w:p>
    <w:p>
      <w:pPr>
        <w:adjustRightInd/>
        <w:spacing w:line="360" w:lineRule="auto"/>
        <w:ind w:firstLine="480" w:firstLineChars="200"/>
        <w:rPr>
          <w:sz w:val="24"/>
          <w:szCs w:val="28"/>
        </w:rPr>
      </w:pPr>
      <w:r>
        <w:rPr>
          <w:rFonts w:hint="eastAsia"/>
          <w:sz w:val="24"/>
          <w:szCs w:val="28"/>
          <w:lang w:eastAsia="zh-CN"/>
        </w:rPr>
        <w:t>在《</w:t>
      </w:r>
      <w:r>
        <w:rPr>
          <w:rFonts w:hint="eastAsia"/>
          <w:sz w:val="24"/>
          <w:szCs w:val="28"/>
        </w:rPr>
        <w:t>基于国家发改委投资项目可行性研究新大纲下的农业建设项目可行性研究报告编制方法和深度要求研究</w:t>
      </w:r>
      <w:r>
        <w:rPr>
          <w:rFonts w:hint="eastAsia"/>
          <w:sz w:val="24"/>
          <w:szCs w:val="28"/>
          <w:lang w:eastAsia="zh-CN"/>
        </w:rPr>
        <w:t>》课题和国内对农业建设项目可研报告编制的</w:t>
      </w:r>
      <w:r>
        <w:rPr>
          <w:rFonts w:hint="eastAsia"/>
          <w:sz w:val="24"/>
          <w:szCs w:val="28"/>
        </w:rPr>
        <w:t>相关技术研究成果，遵照GB/T 1.1-2020给出的规则，参考</w:t>
      </w:r>
      <w:r>
        <w:rPr>
          <w:rFonts w:hint="eastAsia"/>
          <w:sz w:val="24"/>
          <w:szCs w:val="28"/>
          <w:lang w:val="en-US" w:eastAsia="zh-CN"/>
        </w:rPr>
        <w:t>《投资项目可行性研究报告编写指南》（2023年版）、《政府投资可行性研究报告编制通用大纲》（2023年版）、《农业建设项目经济评价方法》、《建设项目经济评价方法与参数》（第三版），以及NY/T 1715-2009《农业建设项目初步设计文件编制规范》、GB/T 51429-2022《农业建设项目验收技术标准》、NY/T 1719-2009 《农业建设项目通用术语》、NY/T 1716-2009《农业建设项目投资估算内容与方法》</w:t>
      </w:r>
      <w:r>
        <w:rPr>
          <w:sz w:val="24"/>
          <w:szCs w:val="28"/>
        </w:rPr>
        <w:t>等标准的相关内容，遵从科学性、针对性、适用性、可行性的原则，形成了</w:t>
      </w:r>
      <w:r>
        <w:rPr>
          <w:rFonts w:hint="eastAsia"/>
          <w:sz w:val="24"/>
          <w:szCs w:val="28"/>
          <w:lang w:eastAsia="zh-CN"/>
        </w:rPr>
        <w:t>修订后的</w:t>
      </w:r>
      <w:r>
        <w:rPr>
          <w:sz w:val="24"/>
          <w:szCs w:val="28"/>
        </w:rPr>
        <w:t>《</w:t>
      </w:r>
      <w:r>
        <w:rPr>
          <w:rFonts w:hint="eastAsia" w:ascii="Times New Roman" w:hAnsi="Times New Roman" w:eastAsia="宋体" w:cs="Times New Roman"/>
          <w:sz w:val="24"/>
          <w:szCs w:val="28"/>
          <w:lang w:val="en-US" w:eastAsia="zh-CN"/>
        </w:rPr>
        <w:t>农业建设项目可行性研究报告编制规程</w:t>
      </w:r>
      <w:r>
        <w:rPr>
          <w:sz w:val="24"/>
          <w:szCs w:val="28"/>
        </w:rPr>
        <w:t>》农业行业标准</w:t>
      </w:r>
      <w:r>
        <w:rPr>
          <w:rFonts w:hint="eastAsia"/>
          <w:sz w:val="24"/>
          <w:szCs w:val="28"/>
        </w:rPr>
        <w:t>送审</w:t>
      </w:r>
      <w:r>
        <w:rPr>
          <w:sz w:val="24"/>
          <w:szCs w:val="28"/>
        </w:rPr>
        <w:t>稿。</w:t>
      </w:r>
    </w:p>
    <w:p>
      <w:pPr>
        <w:pStyle w:val="4"/>
      </w:pPr>
      <w:bookmarkStart w:id="49" w:name="_Toc7081"/>
      <w:bookmarkStart w:id="50" w:name="_Toc44002658"/>
      <w:r>
        <w:rPr>
          <w:rFonts w:hint="eastAsia" w:ascii="Times New Roman" w:hAnsi="Times New Roman"/>
        </w:rPr>
        <w:t>标准主要内容</w:t>
      </w:r>
      <w:bookmarkEnd w:id="49"/>
    </w:p>
    <w:p>
      <w:pPr>
        <w:adjustRightInd/>
        <w:spacing w:line="360" w:lineRule="auto"/>
        <w:ind w:firstLine="480" w:firstLineChars="200"/>
        <w:rPr>
          <w:sz w:val="24"/>
          <w:szCs w:val="28"/>
        </w:rPr>
      </w:pPr>
      <w:r>
        <w:rPr>
          <w:sz w:val="24"/>
          <w:szCs w:val="28"/>
        </w:rPr>
        <w:t>《</w:t>
      </w:r>
      <w:r>
        <w:rPr>
          <w:rFonts w:hint="eastAsia" w:ascii="Times New Roman" w:hAnsi="Times New Roman" w:eastAsia="宋体" w:cs="Times New Roman"/>
          <w:sz w:val="24"/>
          <w:szCs w:val="28"/>
          <w:lang w:val="en-US" w:eastAsia="zh-CN"/>
        </w:rPr>
        <w:t>农业建设项目可行性研究报告编制规程</w:t>
      </w:r>
      <w:r>
        <w:rPr>
          <w:sz w:val="24"/>
          <w:szCs w:val="28"/>
        </w:rPr>
        <w:t>》共分</w:t>
      </w:r>
      <w:r>
        <w:rPr>
          <w:rFonts w:hint="eastAsia"/>
          <w:sz w:val="24"/>
          <w:szCs w:val="28"/>
          <w:lang w:val="en-US" w:eastAsia="zh-CN"/>
        </w:rPr>
        <w:t>15</w:t>
      </w:r>
      <w:r>
        <w:rPr>
          <w:sz w:val="24"/>
          <w:szCs w:val="28"/>
        </w:rPr>
        <w:t>章正文</w:t>
      </w:r>
      <w:r>
        <w:rPr>
          <w:rFonts w:hint="eastAsia"/>
          <w:sz w:val="24"/>
          <w:szCs w:val="28"/>
        </w:rPr>
        <w:t>以及参考</w:t>
      </w:r>
      <w:r>
        <w:rPr>
          <w:sz w:val="24"/>
          <w:szCs w:val="28"/>
        </w:rPr>
        <w:t>文献</w:t>
      </w:r>
      <w:r>
        <w:rPr>
          <w:rFonts w:hint="eastAsia"/>
          <w:sz w:val="24"/>
          <w:szCs w:val="28"/>
        </w:rPr>
        <w:t>。</w:t>
      </w:r>
      <w:r>
        <w:rPr>
          <w:sz w:val="24"/>
          <w:szCs w:val="28"/>
        </w:rPr>
        <w:t>包括第1章范围、第2章规范性引用文件、第3章术语和定义、第4章</w:t>
      </w:r>
      <w:r>
        <w:rPr>
          <w:rFonts w:hint="eastAsia"/>
          <w:sz w:val="24"/>
          <w:szCs w:val="28"/>
          <w:lang w:eastAsia="zh-CN"/>
        </w:rPr>
        <w:t>通用要求</w:t>
      </w:r>
      <w:r>
        <w:rPr>
          <w:sz w:val="24"/>
          <w:szCs w:val="28"/>
        </w:rPr>
        <w:t>、第5章</w:t>
      </w:r>
      <w:r>
        <w:rPr>
          <w:rFonts w:hint="eastAsia"/>
          <w:sz w:val="24"/>
          <w:szCs w:val="28"/>
          <w:lang w:eastAsia="zh-CN"/>
        </w:rPr>
        <w:t>概述</w:t>
      </w:r>
      <w:r>
        <w:rPr>
          <w:sz w:val="24"/>
          <w:szCs w:val="28"/>
        </w:rPr>
        <w:t>、第6章</w:t>
      </w:r>
      <w:r>
        <w:rPr>
          <w:rFonts w:hint="eastAsia"/>
          <w:sz w:val="24"/>
          <w:szCs w:val="28"/>
          <w:lang w:eastAsia="zh-CN"/>
        </w:rPr>
        <w:t>项目建设背景和必要性</w:t>
      </w:r>
      <w:r>
        <w:rPr>
          <w:sz w:val="24"/>
          <w:szCs w:val="28"/>
        </w:rPr>
        <w:t>、第7章</w:t>
      </w:r>
      <w:r>
        <w:rPr>
          <w:rFonts w:hint="eastAsia"/>
          <w:sz w:val="24"/>
          <w:szCs w:val="28"/>
          <w:lang w:eastAsia="zh-CN"/>
        </w:rPr>
        <w:t>项目需求分析与产出方案</w:t>
      </w:r>
      <w:r>
        <w:rPr>
          <w:sz w:val="24"/>
          <w:szCs w:val="28"/>
        </w:rPr>
        <w:t>、第8章</w:t>
      </w:r>
      <w:r>
        <w:rPr>
          <w:rFonts w:hint="eastAsia"/>
          <w:sz w:val="24"/>
          <w:szCs w:val="28"/>
          <w:lang w:eastAsia="zh-CN"/>
        </w:rPr>
        <w:t>项目选址与要素保障</w:t>
      </w:r>
      <w:r>
        <w:rPr>
          <w:sz w:val="24"/>
          <w:szCs w:val="28"/>
        </w:rPr>
        <w:t>、第9章</w:t>
      </w:r>
      <w:r>
        <w:rPr>
          <w:rFonts w:hint="eastAsia"/>
          <w:sz w:val="24"/>
          <w:szCs w:val="28"/>
          <w:lang w:eastAsia="zh-CN"/>
        </w:rPr>
        <w:t>项目建设方案</w:t>
      </w:r>
      <w:r>
        <w:rPr>
          <w:rFonts w:hint="eastAsia"/>
          <w:sz w:val="24"/>
          <w:szCs w:val="28"/>
        </w:rPr>
        <w:t>、第1</w:t>
      </w:r>
      <w:r>
        <w:rPr>
          <w:sz w:val="24"/>
          <w:szCs w:val="28"/>
        </w:rPr>
        <w:t>0</w:t>
      </w:r>
      <w:r>
        <w:rPr>
          <w:rFonts w:hint="eastAsia"/>
          <w:sz w:val="24"/>
          <w:szCs w:val="28"/>
        </w:rPr>
        <w:t>章</w:t>
      </w:r>
      <w:r>
        <w:rPr>
          <w:rFonts w:hint="eastAsia"/>
          <w:sz w:val="24"/>
          <w:szCs w:val="28"/>
          <w:lang w:val="en-US" w:eastAsia="zh-CN"/>
        </w:rPr>
        <w:t>项目运营方案、第11章项目投融资与财务方案、第12章项目影响效果分析、第13章项目风险管控方案、第14章研究结论及建议，</w:t>
      </w:r>
      <w:r>
        <w:rPr>
          <w:sz w:val="24"/>
          <w:szCs w:val="28"/>
        </w:rPr>
        <w:t>以及最后的参考文献。标准主要技术内容指标或要求确定的依据说明如下：</w:t>
      </w:r>
    </w:p>
    <w:p>
      <w:pPr>
        <w:adjustRightInd/>
        <w:spacing w:line="360" w:lineRule="auto"/>
        <w:ind w:firstLine="480" w:firstLineChars="200"/>
        <w:rPr>
          <w:rFonts w:hint="eastAsia"/>
          <w:sz w:val="24"/>
          <w:szCs w:val="28"/>
        </w:rPr>
      </w:pPr>
      <w:bookmarkStart w:id="51" w:name="_Toc44002664"/>
      <w:r>
        <w:rPr>
          <w:rFonts w:hint="eastAsia"/>
          <w:sz w:val="24"/>
          <w:szCs w:val="28"/>
          <w:lang w:eastAsia="zh-CN"/>
        </w:rPr>
        <w:t>（</w:t>
      </w:r>
      <w:r>
        <w:rPr>
          <w:rFonts w:hint="eastAsia"/>
          <w:sz w:val="24"/>
          <w:szCs w:val="28"/>
          <w:lang w:val="en-US" w:eastAsia="zh-CN"/>
        </w:rPr>
        <w:t>1</w:t>
      </w:r>
      <w:r>
        <w:rPr>
          <w:rFonts w:hint="eastAsia"/>
          <w:sz w:val="24"/>
          <w:szCs w:val="28"/>
          <w:lang w:eastAsia="zh-CN"/>
        </w:rPr>
        <w:t>）</w:t>
      </w:r>
      <w:r>
        <w:rPr>
          <w:rFonts w:hint="eastAsia"/>
          <w:sz w:val="24"/>
          <w:szCs w:val="28"/>
        </w:rPr>
        <w:t>范围</w:t>
      </w:r>
      <w:bookmarkEnd w:id="51"/>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rPr>
        <w:t>本文件确立了</w:t>
      </w:r>
      <w:r>
        <w:rPr>
          <w:rFonts w:hint="eastAsia" w:ascii="Times New Roman" w:hAnsi="Times New Roman" w:eastAsia="宋体" w:cs="Times New Roman"/>
          <w:sz w:val="24"/>
          <w:szCs w:val="28"/>
          <w:lang w:eastAsia="zh-CN"/>
        </w:rPr>
        <w:t>农业建设项目可行性研究报告编制的基本原则，规定了农业建设项目可行性研究报告的具体内容、深度要求和关键要点等</w:t>
      </w:r>
      <w:r>
        <w:rPr>
          <w:rFonts w:hint="eastAsia" w:ascii="Times New Roman" w:hAnsi="Times New Roman" w:eastAsia="宋体" w:cs="Times New Roman"/>
          <w:sz w:val="24"/>
          <w:szCs w:val="28"/>
        </w:rPr>
        <w:t>。适用于</w:t>
      </w:r>
      <w:r>
        <w:rPr>
          <w:rFonts w:hint="eastAsia" w:ascii="Times New Roman" w:hAnsi="Times New Roman" w:eastAsia="宋体" w:cs="Times New Roman"/>
          <w:sz w:val="24"/>
          <w:szCs w:val="28"/>
          <w:lang w:eastAsia="zh-CN"/>
        </w:rPr>
        <w:t>农业农村部门主管的、申请使用中央或地方财政资金支持的新建、改造、扩建农业建设项目可行性研究报告的编制</w:t>
      </w:r>
      <w:r>
        <w:rPr>
          <w:rFonts w:hint="eastAsia" w:ascii="Times New Roman" w:hAnsi="Times New Roman" w:eastAsia="宋体" w:cs="Times New Roman"/>
          <w:sz w:val="24"/>
          <w:szCs w:val="28"/>
        </w:rPr>
        <w:t>。</w:t>
      </w:r>
    </w:p>
    <w:p>
      <w:pPr>
        <w:adjustRightInd/>
        <w:spacing w:line="360" w:lineRule="auto"/>
        <w:ind w:firstLine="480" w:firstLineChars="200"/>
        <w:rPr>
          <w:rFonts w:hint="eastAsia"/>
          <w:sz w:val="24"/>
          <w:szCs w:val="28"/>
        </w:rPr>
      </w:pPr>
      <w:bookmarkStart w:id="52" w:name="_Toc44002665"/>
      <w:r>
        <w:rPr>
          <w:rFonts w:hint="eastAsia"/>
          <w:sz w:val="24"/>
          <w:szCs w:val="28"/>
          <w:lang w:eastAsia="zh-CN"/>
        </w:rPr>
        <w:t>（</w:t>
      </w:r>
      <w:r>
        <w:rPr>
          <w:rFonts w:hint="eastAsia"/>
          <w:sz w:val="24"/>
          <w:szCs w:val="28"/>
          <w:lang w:val="en-US" w:eastAsia="zh-CN"/>
        </w:rPr>
        <w:t>2</w:t>
      </w:r>
      <w:r>
        <w:rPr>
          <w:rFonts w:hint="eastAsia"/>
          <w:sz w:val="24"/>
          <w:szCs w:val="28"/>
          <w:lang w:eastAsia="zh-CN"/>
        </w:rPr>
        <w:t>）</w:t>
      </w:r>
      <w:r>
        <w:rPr>
          <w:rFonts w:hint="eastAsia"/>
          <w:sz w:val="24"/>
          <w:szCs w:val="28"/>
        </w:rPr>
        <w:t>规范性引用文件</w:t>
      </w:r>
      <w:bookmarkEnd w:id="52"/>
    </w:p>
    <w:p>
      <w:pPr>
        <w:adjustRightInd/>
        <w:spacing w:line="360" w:lineRule="auto"/>
        <w:ind w:firstLine="480" w:firstLineChars="200"/>
        <w:rPr>
          <w:sz w:val="24"/>
          <w:szCs w:val="28"/>
        </w:rPr>
      </w:pPr>
      <w:r>
        <w:rPr>
          <w:rFonts w:hint="eastAsia"/>
          <w:sz w:val="24"/>
          <w:szCs w:val="28"/>
        </w:rPr>
        <w:t>在充分获取当前国内</w:t>
      </w:r>
      <w:r>
        <w:rPr>
          <w:rFonts w:hint="eastAsia"/>
          <w:sz w:val="24"/>
          <w:szCs w:val="28"/>
          <w:lang w:eastAsia="zh-CN"/>
        </w:rPr>
        <w:t>对投资项目可行性研究报告编制</w:t>
      </w:r>
      <w:r>
        <w:rPr>
          <w:rFonts w:hint="eastAsia"/>
          <w:sz w:val="24"/>
          <w:szCs w:val="28"/>
        </w:rPr>
        <w:t>相关</w:t>
      </w:r>
      <w:r>
        <w:rPr>
          <w:rFonts w:hint="eastAsia"/>
          <w:sz w:val="24"/>
          <w:szCs w:val="28"/>
          <w:lang w:eastAsia="zh-CN"/>
        </w:rPr>
        <w:t>要求的基础上，</w:t>
      </w:r>
      <w:r>
        <w:rPr>
          <w:rFonts w:hint="eastAsia"/>
          <w:sz w:val="24"/>
          <w:szCs w:val="28"/>
        </w:rPr>
        <w:t>参考了</w:t>
      </w:r>
      <w:r>
        <w:rPr>
          <w:rFonts w:hint="eastAsia"/>
          <w:sz w:val="24"/>
          <w:szCs w:val="28"/>
          <w:lang w:eastAsia="zh-CN"/>
        </w:rPr>
        <w:t>农业</w:t>
      </w:r>
      <w:r>
        <w:rPr>
          <w:rFonts w:hint="eastAsia"/>
          <w:sz w:val="24"/>
          <w:szCs w:val="28"/>
        </w:rPr>
        <w:t>领域的</w:t>
      </w:r>
      <w:r>
        <w:rPr>
          <w:rFonts w:hint="eastAsia"/>
          <w:sz w:val="24"/>
          <w:szCs w:val="28"/>
          <w:lang w:eastAsia="zh-CN"/>
        </w:rPr>
        <w:t>相关</w:t>
      </w:r>
      <w:r>
        <w:rPr>
          <w:rFonts w:hint="eastAsia"/>
          <w:sz w:val="24"/>
          <w:szCs w:val="28"/>
        </w:rPr>
        <w:t>标准，包括</w:t>
      </w:r>
      <w:r>
        <w:rPr>
          <w:rFonts w:hint="eastAsia"/>
          <w:sz w:val="24"/>
          <w:szCs w:val="28"/>
          <w:lang w:val="en-US" w:eastAsia="zh-CN"/>
        </w:rPr>
        <w:t>NY/T 1715-2009 《农业建设项目初步设计文件编制规范》、GB/T 51429-2022《农业建设项目验收技术标准》、NY/T 1719-2009 《农业建设项目通用术语》、NY/T 1716-2009 《农业建设项目投资估算内容与方法》</w:t>
      </w:r>
      <w:r>
        <w:rPr>
          <w:rFonts w:hint="eastAsia"/>
          <w:sz w:val="24"/>
          <w:szCs w:val="28"/>
        </w:rPr>
        <w:t>等。</w:t>
      </w:r>
    </w:p>
    <w:p>
      <w:pPr>
        <w:adjustRightInd/>
        <w:spacing w:line="360" w:lineRule="auto"/>
        <w:ind w:firstLine="480" w:firstLineChars="200"/>
        <w:rPr>
          <w:rFonts w:hint="eastAsia"/>
          <w:sz w:val="24"/>
          <w:szCs w:val="28"/>
        </w:rPr>
      </w:pPr>
      <w:bookmarkStart w:id="53" w:name="_Toc44002666"/>
      <w:r>
        <w:rPr>
          <w:rFonts w:hint="eastAsia"/>
          <w:sz w:val="24"/>
          <w:szCs w:val="28"/>
          <w:lang w:eastAsia="zh-CN"/>
        </w:rPr>
        <w:t>（</w:t>
      </w:r>
      <w:r>
        <w:rPr>
          <w:rFonts w:hint="eastAsia"/>
          <w:sz w:val="24"/>
          <w:szCs w:val="28"/>
          <w:lang w:val="en-US" w:eastAsia="zh-CN"/>
        </w:rPr>
        <w:t>3</w:t>
      </w:r>
      <w:r>
        <w:rPr>
          <w:rFonts w:hint="eastAsia"/>
          <w:sz w:val="24"/>
          <w:szCs w:val="28"/>
          <w:lang w:eastAsia="zh-CN"/>
        </w:rPr>
        <w:t>）</w:t>
      </w:r>
      <w:r>
        <w:rPr>
          <w:rFonts w:hint="eastAsia"/>
          <w:sz w:val="24"/>
          <w:szCs w:val="28"/>
        </w:rPr>
        <w:t>术语和定义</w:t>
      </w:r>
      <w:bookmarkEnd w:id="53"/>
    </w:p>
    <w:p>
      <w:pPr>
        <w:adjustRightInd/>
        <w:spacing w:line="360" w:lineRule="auto"/>
        <w:ind w:firstLine="480" w:firstLineChars="200"/>
        <w:rPr>
          <w:rFonts w:hint="eastAsia" w:ascii="Times New Roman" w:hAnsi="Times New Roman" w:eastAsia="宋体" w:cs="Times New Roman"/>
          <w:sz w:val="24"/>
          <w:szCs w:val="28"/>
          <w:lang w:val="en-US" w:eastAsia="zh-CN"/>
        </w:rPr>
      </w:pPr>
      <w:bookmarkStart w:id="54" w:name="_Toc44002668"/>
      <w:bookmarkStart w:id="55" w:name="_Toc533587551"/>
      <w:r>
        <w:rPr>
          <w:rFonts w:hint="eastAsia" w:ascii="Times New Roman" w:hAnsi="Times New Roman" w:eastAsia="宋体" w:cs="Times New Roman"/>
          <w:sz w:val="24"/>
          <w:szCs w:val="28"/>
        </w:rPr>
        <w:t>术语和定义包含了</w:t>
      </w:r>
      <w:r>
        <w:rPr>
          <w:rFonts w:hint="eastAsia" w:ascii="Times New Roman" w:hAnsi="Times New Roman" w:eastAsia="宋体" w:cs="Times New Roman"/>
          <w:sz w:val="24"/>
          <w:szCs w:val="28"/>
          <w:lang w:eastAsia="zh-CN"/>
        </w:rPr>
        <w:t>农业建设项目可研报告编制</w:t>
      </w:r>
      <w:r>
        <w:rPr>
          <w:rFonts w:hint="eastAsia" w:ascii="Times New Roman" w:hAnsi="Times New Roman" w:eastAsia="宋体" w:cs="Times New Roman"/>
          <w:sz w:val="24"/>
          <w:szCs w:val="28"/>
        </w:rPr>
        <w:t>常用到的专业术语，包括</w:t>
      </w:r>
      <w:r>
        <w:rPr>
          <w:rFonts w:hint="eastAsia" w:ascii="Times New Roman" w:hAnsi="Times New Roman" w:eastAsia="宋体" w:cs="Times New Roman"/>
          <w:sz w:val="24"/>
          <w:szCs w:val="28"/>
          <w:lang w:eastAsia="zh-CN"/>
        </w:rPr>
        <w:t>农业建设项目、农业建筑工程、农业田间工程、项目可行性研究</w:t>
      </w:r>
      <w:r>
        <w:rPr>
          <w:rFonts w:hint="eastAsia" w:ascii="Times New Roman" w:hAnsi="Times New Roman" w:eastAsia="宋体" w:cs="Times New Roman"/>
          <w:sz w:val="24"/>
          <w:szCs w:val="28"/>
        </w:rPr>
        <w:t>共</w:t>
      </w:r>
      <w:r>
        <w:rPr>
          <w:rFonts w:hint="eastAsia" w:ascii="Times New Roman" w:hAnsi="Times New Roman" w:eastAsia="宋体" w:cs="Times New Roman"/>
          <w:sz w:val="24"/>
          <w:szCs w:val="28"/>
          <w:lang w:val="en-US" w:eastAsia="zh-CN"/>
        </w:rPr>
        <w:t>4</w:t>
      </w:r>
      <w:r>
        <w:rPr>
          <w:rFonts w:hint="eastAsia" w:ascii="Times New Roman" w:hAnsi="Times New Roman" w:eastAsia="宋体" w:cs="Times New Roman"/>
          <w:sz w:val="24"/>
          <w:szCs w:val="28"/>
        </w:rPr>
        <w:t>个专业名词。</w:t>
      </w:r>
      <w:r>
        <w:rPr>
          <w:rFonts w:hint="eastAsia" w:ascii="Times New Roman" w:hAnsi="Times New Roman" w:eastAsia="宋体" w:cs="Times New Roman"/>
          <w:sz w:val="24"/>
          <w:szCs w:val="28"/>
          <w:lang w:val="en-US" w:eastAsia="zh-CN"/>
        </w:rPr>
        <w:t xml:space="preserve"> </w:t>
      </w:r>
    </w:p>
    <w:p>
      <w:pPr>
        <w:adjustRightInd/>
        <w:spacing w:line="360" w:lineRule="auto"/>
        <w:ind w:firstLine="480" w:firstLineChars="200"/>
        <w:rPr>
          <w:rFonts w:hint="eastAsia" w:ascii="Times New Roman" w:hAnsi="Times New Roman" w:eastAsia="宋体" w:cs="Times New Roman"/>
          <w:sz w:val="24"/>
          <w:szCs w:val="28"/>
        </w:rPr>
      </w:pP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4</w:t>
      </w:r>
      <w:r>
        <w:rPr>
          <w:rFonts w:hint="eastAsia" w:ascii="Times New Roman" w:hAnsi="Times New Roman" w:eastAsia="宋体" w:cs="Times New Roman"/>
          <w:sz w:val="24"/>
          <w:szCs w:val="28"/>
          <w:lang w:eastAsia="zh-CN"/>
        </w:rPr>
        <w:t>）通用</w:t>
      </w:r>
      <w:r>
        <w:rPr>
          <w:rFonts w:hint="eastAsia" w:ascii="Times New Roman" w:hAnsi="Times New Roman" w:eastAsia="宋体" w:cs="Times New Roman"/>
          <w:sz w:val="24"/>
          <w:szCs w:val="28"/>
        </w:rPr>
        <w:t>要求</w:t>
      </w:r>
      <w:bookmarkEnd w:id="54"/>
      <w:bookmarkEnd w:id="55"/>
    </w:p>
    <w:p>
      <w:pPr>
        <w:adjustRightInd/>
        <w:spacing w:line="360" w:lineRule="auto"/>
        <w:ind w:firstLine="480" w:firstLineChars="200"/>
        <w:rPr>
          <w:rFonts w:hint="eastAsia" w:ascii="Times New Roman" w:hAnsi="Times New Roman" w:eastAsia="宋体" w:cs="Times New Roman"/>
          <w:sz w:val="24"/>
          <w:szCs w:val="28"/>
        </w:rPr>
      </w:pPr>
      <w:r>
        <w:rPr>
          <w:rFonts w:hint="eastAsia" w:ascii="Times New Roman" w:hAnsi="Times New Roman" w:eastAsia="宋体" w:cs="Times New Roman"/>
          <w:sz w:val="24"/>
          <w:szCs w:val="28"/>
          <w:lang w:eastAsia="zh-CN"/>
        </w:rPr>
        <w:t>通用</w:t>
      </w:r>
      <w:r>
        <w:rPr>
          <w:rFonts w:hint="eastAsia" w:ascii="Times New Roman" w:hAnsi="Times New Roman" w:eastAsia="宋体" w:cs="Times New Roman"/>
          <w:sz w:val="24"/>
          <w:szCs w:val="28"/>
        </w:rPr>
        <w:t>要求</w:t>
      </w:r>
      <w:r>
        <w:rPr>
          <w:rFonts w:hint="eastAsia" w:ascii="Times New Roman" w:hAnsi="Times New Roman" w:eastAsia="宋体" w:cs="Times New Roman"/>
          <w:sz w:val="24"/>
          <w:szCs w:val="28"/>
          <w:lang w:eastAsia="zh-CN"/>
        </w:rPr>
        <w:t>说明了农业建设项目可行性研究工作编制前提、编制单位、内容和深度等基本</w:t>
      </w:r>
      <w:r>
        <w:rPr>
          <w:rFonts w:hint="eastAsia" w:ascii="Times New Roman" w:hAnsi="Times New Roman" w:eastAsia="宋体" w:cs="Times New Roman"/>
          <w:sz w:val="24"/>
          <w:szCs w:val="28"/>
        </w:rPr>
        <w:t>要求。这些要求是需要在进行</w:t>
      </w:r>
      <w:r>
        <w:rPr>
          <w:rFonts w:hint="eastAsia" w:ascii="Times New Roman" w:hAnsi="Times New Roman" w:eastAsia="宋体" w:cs="Times New Roman"/>
          <w:sz w:val="24"/>
          <w:szCs w:val="28"/>
          <w:lang w:eastAsia="zh-CN"/>
        </w:rPr>
        <w:t>可行性研究报告编制工作开始</w:t>
      </w:r>
      <w:r>
        <w:rPr>
          <w:rFonts w:hint="eastAsia" w:ascii="Times New Roman" w:hAnsi="Times New Roman" w:eastAsia="宋体" w:cs="Times New Roman"/>
          <w:sz w:val="24"/>
          <w:szCs w:val="28"/>
        </w:rPr>
        <w:t>之前进行明确规定，同时，也是保障</w:t>
      </w:r>
      <w:r>
        <w:rPr>
          <w:rFonts w:hint="eastAsia" w:ascii="Times New Roman" w:hAnsi="Times New Roman" w:eastAsia="宋体" w:cs="Times New Roman"/>
          <w:sz w:val="24"/>
          <w:szCs w:val="28"/>
          <w:lang w:eastAsia="zh-CN"/>
        </w:rPr>
        <w:t>可行性研究报告成果具有可使用性</w:t>
      </w:r>
      <w:r>
        <w:rPr>
          <w:rFonts w:hint="eastAsia" w:ascii="Times New Roman" w:hAnsi="Times New Roman" w:eastAsia="宋体" w:cs="Times New Roman"/>
          <w:sz w:val="24"/>
          <w:szCs w:val="28"/>
        </w:rPr>
        <w:t>的重要保证。</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5</w:t>
      </w:r>
      <w:r>
        <w:rPr>
          <w:rFonts w:hint="eastAsia" w:ascii="Times New Roman" w:hAnsi="Times New Roman" w:eastAsia="宋体" w:cs="Times New Roman"/>
          <w:sz w:val="24"/>
          <w:szCs w:val="28"/>
          <w:lang w:eastAsia="zh-CN"/>
        </w:rPr>
        <w:t>）概述</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概述是对项目可行性研究报告的整体内容和情况进行精要的说明，主要包括项目概况、项目单位、编制依据、主要结论和建议四部分内容，是项目决策机构对项目全貌的描述，是可研报告的重要内容。</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6</w:t>
      </w:r>
      <w:r>
        <w:rPr>
          <w:rFonts w:hint="eastAsia" w:ascii="Times New Roman" w:hAnsi="Times New Roman" w:eastAsia="宋体" w:cs="Times New Roman"/>
          <w:sz w:val="24"/>
          <w:szCs w:val="28"/>
          <w:lang w:eastAsia="zh-CN"/>
        </w:rPr>
        <w:t>）项目建设背景和必要性</w:t>
      </w:r>
    </w:p>
    <w:p>
      <w:pPr>
        <w:adjustRightInd/>
        <w:spacing w:line="360" w:lineRule="auto"/>
        <w:ind w:firstLine="480" w:firstLineChars="200"/>
        <w:rPr>
          <w:rFonts w:hint="eastAsia" w:cs="Times New Roman"/>
          <w:sz w:val="24"/>
          <w:szCs w:val="28"/>
          <w:lang w:eastAsia="zh-CN"/>
        </w:rPr>
      </w:pPr>
      <w:r>
        <w:rPr>
          <w:rFonts w:hint="eastAsia" w:ascii="Times New Roman" w:hAnsi="Times New Roman" w:eastAsia="宋体" w:cs="Times New Roman"/>
          <w:sz w:val="24"/>
          <w:szCs w:val="28"/>
          <w:lang w:eastAsia="zh-CN"/>
        </w:rPr>
        <w:t>项目建设背景和必要性</w:t>
      </w:r>
      <w:r>
        <w:rPr>
          <w:rFonts w:hint="eastAsia" w:cs="Times New Roman"/>
          <w:sz w:val="24"/>
          <w:szCs w:val="28"/>
          <w:lang w:eastAsia="zh-CN"/>
        </w:rPr>
        <w:t>主要从项目立项背景、前期工作进展分析项目建设背景条件和情况，关注项目与国家发展战略、宏观政策的符合性，与上位规划的衔接紧密性、以及与产业政策的符合性，从宏观、中观和微观不同层次分析项目建设的必要性，为项目立项决策提供详细论证。</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7</w:t>
      </w:r>
      <w:r>
        <w:rPr>
          <w:rFonts w:hint="eastAsia" w:ascii="Times New Roman" w:hAnsi="Times New Roman" w:eastAsia="宋体" w:cs="Times New Roman"/>
          <w:sz w:val="24"/>
          <w:szCs w:val="28"/>
          <w:lang w:eastAsia="zh-CN"/>
        </w:rPr>
        <w:t>）项目需求分析与产出方案</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此部分将项目建设的宏观需求、中观需求和微观需求相结合，包括需求分析、项目建设目标任务、建设内容和规模、项目产出方案四部分内容，评价项目需求的可靠性和产出方案的合理性。</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8</w:t>
      </w:r>
      <w:r>
        <w:rPr>
          <w:rFonts w:hint="eastAsia" w:ascii="Times New Roman" w:hAnsi="Times New Roman" w:eastAsia="宋体" w:cs="Times New Roman"/>
          <w:sz w:val="24"/>
          <w:szCs w:val="28"/>
          <w:lang w:eastAsia="zh-CN"/>
        </w:rPr>
        <w:t>）项目选址与要素保障</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val="en-US" w:eastAsia="zh-CN"/>
        </w:rPr>
        <w:t>根据农业项目特点和实际需求，提出项目选址原则，说明项目选址的现状、土地利用现状，对有两个及以上场址方案的应通过方案比选确定项目场址，分析项目建设条件，并围绕技术、土地、资源环境等明确项目涉及的各类要素保障情况，提出要素保障方案。</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9</w:t>
      </w:r>
      <w:r>
        <w:rPr>
          <w:rFonts w:hint="eastAsia" w:ascii="Times New Roman" w:hAnsi="Times New Roman" w:eastAsia="宋体" w:cs="Times New Roman"/>
          <w:sz w:val="24"/>
          <w:szCs w:val="28"/>
          <w:lang w:eastAsia="zh-CN"/>
        </w:rPr>
        <w:t>）项目建设方案</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bCs w:val="0"/>
          <w:kern w:val="0"/>
          <w:sz w:val="24"/>
          <w:szCs w:val="28"/>
          <w:lang w:eastAsia="zh-CN"/>
        </w:rPr>
        <w:t>通过比选确定项目核心技术方案、拟购设备清单，围绕</w:t>
      </w:r>
      <w:r>
        <w:rPr>
          <w:rFonts w:hint="eastAsia" w:ascii="Times New Roman" w:hAnsi="Times New Roman" w:eastAsia="宋体" w:cs="Times New Roman"/>
          <w:bCs w:val="0"/>
          <w:kern w:val="0"/>
          <w:sz w:val="24"/>
          <w:szCs w:val="28"/>
          <w:lang w:val="en-US" w:eastAsia="zh-CN"/>
        </w:rPr>
        <w:t>总图布置和运输、</w:t>
      </w:r>
      <w:r>
        <w:rPr>
          <w:rFonts w:hint="eastAsia" w:ascii="Times New Roman" w:hAnsi="Times New Roman" w:eastAsia="宋体" w:cs="Times New Roman"/>
          <w:bCs w:val="0"/>
          <w:kern w:val="0"/>
          <w:sz w:val="24"/>
          <w:szCs w:val="28"/>
          <w:lang w:eastAsia="zh-CN"/>
        </w:rPr>
        <w:t>建筑工程、田间工程分析说明项目工程方案，</w:t>
      </w:r>
      <w:r>
        <w:rPr>
          <w:rFonts w:hint="eastAsia" w:ascii="Times New Roman" w:hAnsi="Times New Roman" w:eastAsia="宋体" w:cs="Times New Roman"/>
          <w:sz w:val="24"/>
          <w:szCs w:val="28"/>
          <w:lang w:val="en-US" w:eastAsia="zh-CN"/>
        </w:rPr>
        <w:t>涉及土地征收或用海海域征收的</w:t>
      </w:r>
      <w:r>
        <w:rPr>
          <w:rFonts w:hint="eastAsia" w:ascii="Times New Roman" w:hAnsi="Times New Roman" w:eastAsia="宋体" w:cs="Times New Roman"/>
          <w:bCs w:val="0"/>
          <w:kern w:val="0"/>
          <w:sz w:val="24"/>
          <w:szCs w:val="28"/>
          <w:lang w:eastAsia="zh-CN"/>
        </w:rPr>
        <w:t>项目应</w:t>
      </w:r>
      <w:r>
        <w:rPr>
          <w:rFonts w:hint="eastAsia" w:ascii="Times New Roman" w:hAnsi="Times New Roman" w:eastAsia="宋体" w:cs="Times New Roman"/>
          <w:sz w:val="24"/>
          <w:szCs w:val="28"/>
          <w:lang w:val="en-US" w:eastAsia="zh-CN"/>
        </w:rPr>
        <w:t>提出征收补偿（安置）方案，具备条件的项目研究提出数字化应用和交付方案，根据项目实际细化说明建设管理方案。</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10</w:t>
      </w:r>
      <w:r>
        <w:rPr>
          <w:rFonts w:hint="eastAsia" w:ascii="Times New Roman" w:hAnsi="Times New Roman" w:eastAsia="宋体" w:cs="Times New Roman"/>
          <w:sz w:val="24"/>
          <w:szCs w:val="28"/>
          <w:lang w:eastAsia="zh-CN"/>
        </w:rPr>
        <w:t>）项目运营方案</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项目运营方案主要从项目有效运营的角度出发，提出项目拟采取运行模式，研究运营组织、产品生产、运营服务、安全保障和绩效管理方案等。对项目正常有效运行，提出组织机构设置要求、人员培训计划、原材料供应保障等运营保障条件的要求，在确保项目的有效性和可持续性。</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11</w:t>
      </w:r>
      <w:r>
        <w:rPr>
          <w:rFonts w:hint="eastAsia" w:ascii="Times New Roman" w:hAnsi="Times New Roman" w:eastAsia="宋体" w:cs="Times New Roman"/>
          <w:sz w:val="24"/>
          <w:szCs w:val="28"/>
          <w:lang w:eastAsia="zh-CN"/>
        </w:rPr>
        <w:t>）项目投融资与财务方案</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此部分包括投资估算、盈利能力、融资方案、清偿能力分析、财务可持续性分析等五部分内容，在确定拟建项目投资需求和项目自身盈利能力的基础上，分析形成融资方案，并通过计算有关财务评价指标，判断项目财务合理性，明确项目对利益相关主体的价值贡献，为项目投资决策、融资决策和项目运营以及财务管理提供依据。</w:t>
      </w:r>
    </w:p>
    <w:p>
      <w:pPr>
        <w:numPr>
          <w:ilvl w:val="0"/>
          <w:numId w:val="6"/>
        </w:num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项目影响效果分析</w:t>
      </w:r>
    </w:p>
    <w:p>
      <w:pPr>
        <w:pStyle w:val="2"/>
        <w:numPr>
          <w:ilvl w:val="0"/>
          <w:numId w:val="0"/>
        </w:numPr>
        <w:ind w:firstLine="480" w:firstLineChars="200"/>
        <w:rPr>
          <w:rFonts w:hint="eastAsia"/>
          <w:lang w:eastAsia="zh-CN"/>
        </w:rPr>
      </w:pPr>
      <w:r>
        <w:rPr>
          <w:rFonts w:hint="eastAsia" w:ascii="Times New Roman" w:hAnsi="Times New Roman" w:eastAsia="宋体" w:cs="Times New Roman"/>
          <w:sz w:val="24"/>
          <w:szCs w:val="28"/>
          <w:lang w:val="en-US" w:eastAsia="zh-CN"/>
        </w:rPr>
        <w:t>项目影响效果分析主要从项目对外部的影响角度出发，预测项目对经济、社会、生态环境、资源和能源利用效果、碳达峰碳中和影响，研究项目外部影响的可接受性，评价项目对经济、社会、生态环境、资源等产生正面及负面的影响，并对负面影响提出减排措施，为项目实施提供判断依据。</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13</w:t>
      </w:r>
      <w:r>
        <w:rPr>
          <w:rFonts w:hint="eastAsia" w:ascii="Times New Roman" w:hAnsi="Times New Roman" w:eastAsia="宋体" w:cs="Times New Roman"/>
          <w:sz w:val="24"/>
          <w:szCs w:val="28"/>
          <w:lang w:eastAsia="zh-CN"/>
        </w:rPr>
        <w:t>）项目风险管控方案</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val="en-US" w:eastAsia="zh-CN"/>
        </w:rPr>
        <w:t>项目风险管控方案主要从项目全生命周期可能存在的潜在风险进行识别和评价，确定风险影响范围和判断风险等级，提出风险管控方案和应急预案。对重大项目进行社会稳定风险进行评价。</w:t>
      </w:r>
    </w:p>
    <w:p>
      <w:pPr>
        <w:adjustRightInd/>
        <w:spacing w:line="360" w:lineRule="auto"/>
        <w:ind w:firstLine="480" w:firstLineChars="200"/>
        <w:rPr>
          <w:rFonts w:hint="eastAsia" w:ascii="Times New Roman" w:hAnsi="Times New Roman" w:eastAsia="宋体" w:cs="Times New Roman"/>
          <w:sz w:val="24"/>
          <w:szCs w:val="28"/>
          <w:lang w:eastAsia="zh-CN"/>
        </w:rPr>
      </w:pP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14</w:t>
      </w:r>
      <w:r>
        <w:rPr>
          <w:rFonts w:hint="eastAsia" w:ascii="Times New Roman" w:hAnsi="Times New Roman" w:eastAsia="宋体" w:cs="Times New Roman"/>
          <w:sz w:val="24"/>
          <w:szCs w:val="28"/>
          <w:lang w:eastAsia="zh-CN"/>
        </w:rPr>
        <w:t>）研究结论及建议</w:t>
      </w:r>
    </w:p>
    <w:p>
      <w:pPr>
        <w:pStyle w:val="2"/>
        <w:keepNext w:val="0"/>
        <w:keepLines w:val="0"/>
        <w:pageBreakBefore w:val="0"/>
        <w:widowControl w:val="0"/>
        <w:kinsoku/>
        <w:wordWrap/>
        <w:overflowPunct/>
        <w:topLinePunct w:val="0"/>
        <w:autoSpaceDE w:val="0"/>
        <w:autoSpaceDN w:val="0"/>
        <w:bidi w:val="0"/>
        <w:adjustRightInd w:val="0"/>
        <w:snapToGrid/>
        <w:ind w:firstLine="480" w:firstLineChars="200"/>
        <w:textAlignment w:val="baseline"/>
        <w:rPr>
          <w:rFonts w:hint="eastAsia" w:ascii="Times New Roman" w:eastAsia="宋体" w:cs="Times New Roman"/>
          <w:sz w:val="24"/>
          <w:szCs w:val="28"/>
          <w:highlight w:val="none"/>
          <w:lang w:val="en-US" w:eastAsia="zh-CN" w:bidi="ar-SA"/>
        </w:rPr>
      </w:pPr>
      <w:r>
        <w:rPr>
          <w:rFonts w:hint="eastAsia" w:ascii="Times New Roman" w:eastAsia="宋体" w:cs="Times New Roman"/>
          <w:sz w:val="24"/>
          <w:szCs w:val="28"/>
          <w:highlight w:val="none"/>
          <w:lang w:val="en-US" w:eastAsia="zh-CN" w:bidi="ar-SA"/>
        </w:rPr>
        <w:t>此部分包括主要研究结论、问题与建议等两部分内容，在充分考虑建设影响因素的基础上，通过多角度评估，明确建设方案要点与财务预测，衡量项目综合效益与潜在风险，判定项目可行性。同时，通过识别关键问题与制定解决方案，针对不可行项目提出改进意见，确保决策精准与后续实施顺畅。</w:t>
      </w:r>
    </w:p>
    <w:p>
      <w:pPr>
        <w:numPr>
          <w:ilvl w:val="0"/>
          <w:numId w:val="7"/>
        </w:numPr>
        <w:adjustRightInd/>
        <w:spacing w:line="360" w:lineRule="auto"/>
        <w:ind w:firstLine="480" w:firstLineChars="200"/>
        <w:rPr>
          <w:rFonts w:hint="eastAsia" w:ascii="Times New Roman" w:hAnsi="Times New Roman" w:eastAsia="宋体" w:cs="Times New Roman"/>
          <w:sz w:val="24"/>
          <w:szCs w:val="28"/>
          <w:highlight w:val="none"/>
          <w:lang w:eastAsia="zh-CN"/>
        </w:rPr>
      </w:pPr>
      <w:r>
        <w:rPr>
          <w:rFonts w:hint="eastAsia" w:ascii="Times New Roman" w:hAnsi="Times New Roman" w:eastAsia="宋体" w:cs="Times New Roman"/>
          <w:sz w:val="24"/>
          <w:szCs w:val="28"/>
          <w:highlight w:val="none"/>
          <w:lang w:eastAsia="zh-CN"/>
        </w:rPr>
        <w:t>附表、附图和附件</w:t>
      </w:r>
    </w:p>
    <w:p>
      <w:pPr>
        <w:pStyle w:val="2"/>
        <w:keepNext w:val="0"/>
        <w:keepLines w:val="0"/>
        <w:pageBreakBefore w:val="0"/>
        <w:widowControl w:val="0"/>
        <w:kinsoku/>
        <w:wordWrap/>
        <w:overflowPunct/>
        <w:topLinePunct w:val="0"/>
        <w:autoSpaceDE w:val="0"/>
        <w:autoSpaceDN w:val="0"/>
        <w:bidi w:val="0"/>
        <w:adjustRightInd w:val="0"/>
        <w:snapToGrid/>
        <w:ind w:firstLine="480" w:firstLineChars="200"/>
        <w:textAlignment w:val="baseline"/>
        <w:rPr>
          <w:rFonts w:hint="eastAsia" w:ascii="Times New Roman" w:eastAsia="宋体" w:cs="Times New Roman"/>
          <w:sz w:val="24"/>
          <w:szCs w:val="28"/>
          <w:highlight w:val="none"/>
          <w:lang w:val="en-US" w:eastAsia="zh-CN" w:bidi="ar-SA"/>
        </w:rPr>
      </w:pPr>
      <w:r>
        <w:rPr>
          <w:rFonts w:hint="eastAsia" w:ascii="Times New Roman" w:eastAsia="宋体" w:cs="Times New Roman"/>
          <w:sz w:val="24"/>
          <w:szCs w:val="28"/>
          <w:highlight w:val="none"/>
          <w:lang w:val="en-US" w:eastAsia="zh-CN" w:bidi="ar-SA"/>
        </w:rPr>
        <w:t>根据项目实际情况及规范要求，此部分编写包含必要的附表、附图和附件三部分内容。附表部分涵盖投资估算、资金来源与运用、财务评价及其他反映建设单位能力的数据表，通过合理规划资金筹措方案，明确项目费用及其依据，做到全面反映建设单位财务活动状况，准确把握项目投资信息。附图方面，要求提供场址区域位置图、建筑工程平面布置图、仪器设备布局示意图及主要工艺流程图等，以直观展现项目地理位置、总体布局、设备配置及生产流程等关键信息。附件部分囊括了项目建议书批复文件、项目规划前置条件审批说明、建设单位资质文件、资源环境要素保障、其他相关批复文件以及合作协议意向书等关键材料，确保项目符合国家法律法规要求，具备扎实的实施基础，并充分证明项目的合作背景及市场潜力。所有附加的表格、图示等内容，在必要时均需辅以详尽的文字说明及注释，来保障报告整体内容的完整性、准确性和可读性。</w:t>
      </w:r>
    </w:p>
    <w:p>
      <w:pPr>
        <w:adjustRightInd/>
        <w:spacing w:line="360" w:lineRule="auto"/>
        <w:ind w:firstLine="480" w:firstLineChars="200"/>
        <w:jc w:val="center"/>
        <w:rPr>
          <w:rFonts w:hint="eastAsia"/>
          <w:color w:val="0000FF"/>
          <w:sz w:val="24"/>
          <w:szCs w:val="28"/>
          <w:lang w:eastAsia="zh-CN"/>
        </w:rPr>
      </w:pPr>
    </w:p>
    <w:p>
      <w:pPr>
        <w:adjustRightInd/>
        <w:spacing w:line="360" w:lineRule="auto"/>
        <w:ind w:firstLine="480" w:firstLineChars="200"/>
        <w:jc w:val="both"/>
        <w:rPr>
          <w:rFonts w:hint="eastAsia"/>
          <w:color w:val="auto"/>
          <w:sz w:val="24"/>
          <w:szCs w:val="28"/>
          <w:lang w:eastAsia="zh-CN"/>
        </w:rPr>
      </w:pPr>
      <w:r>
        <w:rPr>
          <w:rFonts w:hint="eastAsia"/>
          <w:color w:val="auto"/>
          <w:sz w:val="24"/>
          <w:szCs w:val="28"/>
          <w:lang w:eastAsia="zh-CN"/>
        </w:rPr>
        <w:t>因本标准为修订标准，按照相关要求，特编制了修订前后技术内容的对比表，作为附件。</w:t>
      </w:r>
    </w:p>
    <w:p>
      <w:pPr>
        <w:pStyle w:val="4"/>
      </w:pPr>
      <w:bookmarkStart w:id="56" w:name="_Toc150798084"/>
      <w:bookmarkEnd w:id="56"/>
      <w:bookmarkStart w:id="57" w:name="_Toc1502"/>
      <w:r>
        <w:t>标准编制依据</w:t>
      </w:r>
      <w:bookmarkEnd w:id="50"/>
      <w:bookmarkEnd w:id="57"/>
    </w:p>
    <w:p>
      <w:pPr>
        <w:adjustRightInd/>
        <w:spacing w:line="360" w:lineRule="auto"/>
        <w:ind w:firstLine="480" w:firstLineChars="200"/>
        <w:rPr>
          <w:rFonts w:hint="eastAsia"/>
          <w:sz w:val="24"/>
          <w:szCs w:val="28"/>
          <w:lang w:eastAsia="zh-CN"/>
        </w:rPr>
      </w:pPr>
      <w:bookmarkStart w:id="58" w:name="_Toc44002659"/>
      <w:r>
        <w:rPr>
          <w:rFonts w:hint="eastAsia"/>
          <w:sz w:val="24"/>
          <w:szCs w:val="28"/>
          <w:lang w:eastAsia="zh-CN"/>
        </w:rPr>
        <w:t>（</w:t>
      </w:r>
      <w:r>
        <w:rPr>
          <w:rFonts w:hint="eastAsia"/>
          <w:sz w:val="24"/>
          <w:szCs w:val="28"/>
          <w:lang w:val="en-US" w:eastAsia="zh-CN"/>
        </w:rPr>
        <w:t>1</w:t>
      </w:r>
      <w:r>
        <w:rPr>
          <w:rFonts w:hint="eastAsia"/>
          <w:sz w:val="24"/>
          <w:szCs w:val="28"/>
          <w:lang w:eastAsia="zh-CN"/>
        </w:rPr>
        <w:t>）课题研究成果和已有</w:t>
      </w:r>
      <w:bookmarkEnd w:id="58"/>
      <w:r>
        <w:rPr>
          <w:rFonts w:hint="eastAsia"/>
          <w:sz w:val="24"/>
          <w:szCs w:val="28"/>
          <w:lang w:eastAsia="zh-CN"/>
        </w:rPr>
        <w:t>新大纲</w:t>
      </w:r>
    </w:p>
    <w:p>
      <w:pPr>
        <w:adjustRightInd/>
        <w:spacing w:line="360" w:lineRule="auto"/>
        <w:ind w:firstLine="480" w:firstLineChars="200"/>
        <w:rPr>
          <w:sz w:val="24"/>
          <w:szCs w:val="28"/>
        </w:rPr>
      </w:pPr>
      <w:r>
        <w:rPr>
          <w:rFonts w:hint="eastAsia" w:ascii="Times New Roman" w:hAnsi="Times New Roman" w:eastAsia="宋体" w:cs="Times New Roman"/>
          <w:sz w:val="24"/>
          <w:szCs w:val="28"/>
          <w:lang w:val="en-US" w:eastAsia="zh-CN"/>
        </w:rPr>
        <w:t>2023年3月，国家发改委正式发布了《政府投资项目可行性研究报告编制通用大纲》和《企业投资项目可行性研究报告编制参考大纲》，2024年中国国际工程咨询有限公司出版了</w:t>
      </w:r>
      <w:r>
        <w:rPr>
          <w:rFonts w:hint="eastAsia"/>
          <w:sz w:val="24"/>
          <w:szCs w:val="28"/>
          <w:lang w:val="en-US" w:eastAsia="zh-CN"/>
        </w:rPr>
        <w:t>《投资项目可行性研究报告编写指南》（2023年版）</w:t>
      </w:r>
      <w:r>
        <w:rPr>
          <w:rFonts w:hint="eastAsia" w:ascii="Times New Roman" w:hAnsi="Times New Roman" w:eastAsia="宋体" w:cs="Times New Roman"/>
          <w:sz w:val="24"/>
          <w:szCs w:val="28"/>
          <w:lang w:val="en-US" w:eastAsia="zh-CN"/>
        </w:rPr>
        <w:t>，在此基础上并结合农业农村建设项目的具体特点，农业农村部工程建设服</w:t>
      </w:r>
      <w:r>
        <w:rPr>
          <w:rFonts w:hint="eastAsia"/>
          <w:sz w:val="24"/>
          <w:szCs w:val="28"/>
          <w:lang w:val="en-US" w:eastAsia="zh-CN"/>
        </w:rPr>
        <w:t>务中心组织开展了《基于国家发改委投资项目可行性研究新大纲下的农业建设项目可行性研究报告编制方法和深度要求研究》课题研究，</w:t>
      </w:r>
      <w:r>
        <w:rPr>
          <w:rFonts w:hint="eastAsia" w:ascii="Times New Roman" w:hAnsi="Times New Roman" w:eastAsia="宋体" w:cs="Times New Roman"/>
          <w:sz w:val="24"/>
          <w:szCs w:val="28"/>
          <w:lang w:val="en-US" w:eastAsia="zh-CN"/>
        </w:rPr>
        <w:t>研究提出农业建设项目可行性研究报告编制大纲，本标准就是在该课题研究基础上延伸完成的</w:t>
      </w:r>
      <w:r>
        <w:rPr>
          <w:sz w:val="24"/>
          <w:szCs w:val="28"/>
        </w:rPr>
        <w:t>。</w:t>
      </w:r>
    </w:p>
    <w:p>
      <w:pPr>
        <w:adjustRightInd/>
        <w:spacing w:line="360" w:lineRule="auto"/>
        <w:ind w:firstLine="480" w:firstLineChars="200"/>
        <w:rPr>
          <w:rFonts w:hint="eastAsia"/>
          <w:sz w:val="24"/>
          <w:szCs w:val="28"/>
          <w:lang w:eastAsia="zh-CN"/>
        </w:rPr>
      </w:pPr>
      <w:bookmarkStart w:id="59" w:name="_Toc44002661"/>
      <w:r>
        <w:rPr>
          <w:rFonts w:hint="eastAsia"/>
          <w:sz w:val="24"/>
          <w:szCs w:val="28"/>
          <w:lang w:eastAsia="zh-CN"/>
        </w:rPr>
        <w:t>（</w:t>
      </w:r>
      <w:r>
        <w:rPr>
          <w:rFonts w:hint="eastAsia"/>
          <w:sz w:val="24"/>
          <w:szCs w:val="28"/>
          <w:lang w:val="en-US" w:eastAsia="zh-CN"/>
        </w:rPr>
        <w:t>2</w:t>
      </w:r>
      <w:r>
        <w:rPr>
          <w:rFonts w:hint="eastAsia"/>
          <w:sz w:val="24"/>
          <w:szCs w:val="28"/>
          <w:lang w:eastAsia="zh-CN"/>
        </w:rPr>
        <w:t>）问卷调研</w:t>
      </w:r>
      <w:bookmarkEnd w:id="59"/>
      <w:r>
        <w:rPr>
          <w:rFonts w:hint="eastAsia"/>
          <w:sz w:val="24"/>
          <w:szCs w:val="28"/>
          <w:lang w:eastAsia="zh-CN"/>
        </w:rPr>
        <w:t>和专家意见</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本标准是通过问卷调研专业咨询机构工作人员在农业建设项目可研编制过程中使用新大纲的实际情况和有益建议，征求农业建设项目咨询领域专家，在原有的标准基础上，进行完善和修订，以更好的指导农业行业投资前期工作科学开展。</w:t>
      </w:r>
    </w:p>
    <w:p>
      <w:pPr>
        <w:pStyle w:val="3"/>
      </w:pPr>
      <w:bookmarkStart w:id="60" w:name="_Toc531195525"/>
      <w:bookmarkStart w:id="61" w:name="_Toc24878"/>
      <w:bookmarkStart w:id="62" w:name="_Toc1853"/>
      <w:bookmarkStart w:id="63" w:name="_Toc171619403"/>
      <w:bookmarkStart w:id="64" w:name="_Toc8996"/>
      <w:bookmarkStart w:id="65" w:name="_Toc171599191"/>
      <w:r>
        <w:rPr>
          <w:rFonts w:hint="eastAsia" w:ascii="Times New Roman" w:hAnsi="Times New Roman"/>
        </w:rPr>
        <w:t>试验验证的分析、综述报告，</w:t>
      </w:r>
      <w:bookmarkEnd w:id="60"/>
      <w:r>
        <w:rPr>
          <w:rFonts w:hint="eastAsia" w:ascii="Times New Roman" w:hAnsi="Times New Roman"/>
        </w:rPr>
        <w:t>技术经济论证，预期的经济效益、社会效益、生态效益</w:t>
      </w:r>
      <w:bookmarkEnd w:id="61"/>
      <w:bookmarkEnd w:id="62"/>
    </w:p>
    <w:p>
      <w:pPr>
        <w:pStyle w:val="4"/>
        <w:rPr>
          <w:rFonts w:hint="eastAsia"/>
        </w:rPr>
      </w:pPr>
      <w:bookmarkStart w:id="66" w:name="_Toc7126"/>
      <w:r>
        <w:rPr>
          <w:rFonts w:hint="eastAsia"/>
        </w:rPr>
        <w:t>试验验证分析、综述报告</w:t>
      </w:r>
      <w:bookmarkEnd w:id="66"/>
    </w:p>
    <w:p>
      <w:pPr>
        <w:adjustRightInd/>
        <w:spacing w:line="360" w:lineRule="auto"/>
        <w:ind w:firstLine="480" w:firstLineChars="200"/>
        <w:jc w:val="left"/>
        <w:rPr>
          <w:rFonts w:hint="eastAsia" w:eastAsia="宋体"/>
          <w:sz w:val="24"/>
          <w:szCs w:val="28"/>
          <w:lang w:eastAsia="zh-CN"/>
        </w:rPr>
      </w:pPr>
      <w:r>
        <w:rPr>
          <w:rFonts w:hint="eastAsia"/>
          <w:sz w:val="24"/>
          <w:szCs w:val="28"/>
          <w:lang w:eastAsia="zh-CN"/>
        </w:rPr>
        <w:t>无。</w:t>
      </w:r>
    </w:p>
    <w:p>
      <w:pPr>
        <w:pStyle w:val="4"/>
        <w:rPr>
          <w:rFonts w:ascii="Times New Roman" w:hAnsi="Times New Roman"/>
        </w:rPr>
      </w:pPr>
      <w:bookmarkStart w:id="67" w:name="_Toc27297"/>
      <w:bookmarkStart w:id="68" w:name="_Toc18910"/>
      <w:bookmarkStart w:id="69" w:name="_Toc171599194"/>
      <w:bookmarkStart w:id="70" w:name="_Toc171619406"/>
      <w:r>
        <w:rPr>
          <w:rFonts w:hint="eastAsia" w:ascii="Times New Roman" w:hAnsi="Times New Roman"/>
        </w:rPr>
        <w:t>技术经济论证</w:t>
      </w:r>
      <w:bookmarkEnd w:id="67"/>
      <w:bookmarkEnd w:id="68"/>
      <w:bookmarkEnd w:id="69"/>
      <w:bookmarkEnd w:id="70"/>
    </w:p>
    <w:p>
      <w:pPr>
        <w:adjustRightInd/>
        <w:spacing w:line="360" w:lineRule="auto"/>
        <w:ind w:firstLine="480" w:firstLineChars="200"/>
        <w:rPr>
          <w:rFonts w:hint="eastAsia"/>
          <w:sz w:val="24"/>
          <w:szCs w:val="28"/>
        </w:rPr>
      </w:pPr>
      <w:r>
        <w:rPr>
          <w:rFonts w:hint="eastAsia"/>
          <w:sz w:val="24"/>
          <w:szCs w:val="28"/>
          <w:lang w:eastAsia="zh-CN"/>
        </w:rPr>
        <w:t>无</w:t>
      </w:r>
      <w:r>
        <w:rPr>
          <w:rFonts w:hint="eastAsia"/>
          <w:sz w:val="24"/>
          <w:szCs w:val="28"/>
        </w:rPr>
        <w:t>。</w:t>
      </w:r>
    </w:p>
    <w:p>
      <w:pPr>
        <w:pStyle w:val="4"/>
        <w:rPr>
          <w:rFonts w:ascii="Times New Roman" w:hAnsi="Times New Roman"/>
        </w:rPr>
      </w:pPr>
      <w:bookmarkStart w:id="71" w:name="_Toc171599195"/>
      <w:bookmarkStart w:id="72" w:name="_Toc6783"/>
      <w:bookmarkStart w:id="73" w:name="_Toc24149"/>
      <w:bookmarkStart w:id="74" w:name="_Toc171619407"/>
      <w:r>
        <w:rPr>
          <w:rFonts w:hint="eastAsia" w:ascii="Times New Roman" w:hAnsi="Times New Roman"/>
        </w:rPr>
        <w:t>预期的经济效益、社会效益、生态效益</w:t>
      </w:r>
      <w:bookmarkEnd w:id="71"/>
      <w:bookmarkEnd w:id="72"/>
      <w:bookmarkEnd w:id="73"/>
      <w:bookmarkEnd w:id="74"/>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农业建设项目可行性研究报告编制规程》的制定和实施对于提升农业项目的经济效益、社会效益和生态效益具有重要意义。通过科学评估、合理规划和有效实施，可以推动农业项目的可持续发展，为农村经济、社会和环境的协调发展贡献力量。</w:t>
      </w:r>
    </w:p>
    <w:p>
      <w:pPr>
        <w:adjustRightInd/>
        <w:spacing w:line="360" w:lineRule="auto"/>
        <w:ind w:firstLine="480" w:firstLineChars="200"/>
        <w:rPr>
          <w:rFonts w:hint="eastAsia"/>
          <w:sz w:val="24"/>
          <w:szCs w:val="28"/>
        </w:rPr>
      </w:pPr>
      <w:r>
        <w:rPr>
          <w:rFonts w:hint="eastAsia"/>
          <w:sz w:val="24"/>
          <w:szCs w:val="28"/>
          <w:lang w:eastAsia="zh-CN"/>
        </w:rPr>
        <w:t>（</w:t>
      </w:r>
      <w:r>
        <w:rPr>
          <w:rFonts w:hint="eastAsia"/>
          <w:sz w:val="24"/>
          <w:szCs w:val="28"/>
          <w:lang w:val="en-US" w:eastAsia="zh-CN"/>
        </w:rPr>
        <w:t>1</w:t>
      </w:r>
      <w:r>
        <w:rPr>
          <w:rFonts w:hint="eastAsia"/>
          <w:sz w:val="24"/>
          <w:szCs w:val="28"/>
          <w:lang w:eastAsia="zh-CN"/>
        </w:rPr>
        <w:t>）</w:t>
      </w:r>
      <w:r>
        <w:rPr>
          <w:rFonts w:hint="eastAsia"/>
          <w:sz w:val="24"/>
          <w:szCs w:val="28"/>
        </w:rPr>
        <w:t>经济效益</w:t>
      </w:r>
    </w:p>
    <w:p>
      <w:pPr>
        <w:adjustRightInd/>
        <w:spacing w:line="360" w:lineRule="auto"/>
        <w:ind w:firstLine="480" w:firstLineChars="200"/>
        <w:rPr>
          <w:rFonts w:hint="default" w:ascii="Times New Roman" w:hAnsi="Times New Roman" w:eastAsia="宋体" w:cs="Times New Roman"/>
          <w:sz w:val="24"/>
          <w:szCs w:val="28"/>
          <w:lang w:val="en-US" w:eastAsia="zh-CN"/>
        </w:rPr>
      </w:pPr>
      <w:r>
        <w:rPr>
          <w:rFonts w:hint="eastAsia"/>
          <w:sz w:val="24"/>
          <w:szCs w:val="28"/>
        </w:rPr>
        <w:t>从经济效益角度来看，</w:t>
      </w:r>
      <w:r>
        <w:rPr>
          <w:rFonts w:hint="default" w:ascii="Times New Roman" w:hAnsi="Times New Roman" w:eastAsia="宋体" w:cs="Times New Roman"/>
          <w:sz w:val="24"/>
          <w:szCs w:val="28"/>
          <w:lang w:val="en-US" w:eastAsia="zh-CN"/>
        </w:rPr>
        <w:t>规程的编制有助于</w:t>
      </w:r>
      <w:r>
        <w:rPr>
          <w:rFonts w:hint="eastAsia" w:ascii="Times New Roman" w:hAnsi="Times New Roman" w:eastAsia="宋体" w:cs="Times New Roman"/>
          <w:sz w:val="24"/>
          <w:szCs w:val="28"/>
          <w:lang w:val="en-US" w:eastAsia="zh-CN"/>
        </w:rPr>
        <w:t>项目前期工作的高效化，实现</w:t>
      </w:r>
      <w:r>
        <w:rPr>
          <w:rFonts w:hint="default" w:ascii="Times New Roman" w:hAnsi="Times New Roman" w:eastAsia="宋体" w:cs="Times New Roman"/>
          <w:sz w:val="24"/>
          <w:szCs w:val="28"/>
          <w:lang w:val="en-US" w:eastAsia="zh-CN"/>
        </w:rPr>
        <w:t>资源配置优化，确保项目所需的人力、物力、财力等资源得到合理高效的利用。</w:t>
      </w:r>
      <w:r>
        <w:rPr>
          <w:rFonts w:hint="eastAsia" w:ascii="Times New Roman" w:hAnsi="Times New Roman" w:eastAsia="宋体" w:cs="Times New Roman"/>
          <w:sz w:val="24"/>
          <w:szCs w:val="28"/>
          <w:lang w:val="en-US" w:eastAsia="zh-CN"/>
        </w:rPr>
        <w:t>同时，也</w:t>
      </w:r>
      <w:r>
        <w:rPr>
          <w:rFonts w:hint="default" w:ascii="Times New Roman" w:hAnsi="Times New Roman" w:eastAsia="宋体" w:cs="Times New Roman"/>
          <w:sz w:val="24"/>
          <w:szCs w:val="28"/>
          <w:lang w:val="en-US" w:eastAsia="zh-CN"/>
        </w:rPr>
        <w:t>有助于</w:t>
      </w:r>
      <w:r>
        <w:rPr>
          <w:rFonts w:hint="eastAsia" w:ascii="Times New Roman" w:hAnsi="Times New Roman" w:eastAsia="宋体" w:cs="Times New Roman"/>
          <w:sz w:val="24"/>
          <w:szCs w:val="28"/>
          <w:lang w:val="en-US" w:eastAsia="zh-CN"/>
        </w:rPr>
        <w:t>提高资金的使用效率，选择优质的农业建设项目，更好</w:t>
      </w:r>
      <w:r>
        <w:rPr>
          <w:rFonts w:hint="default" w:ascii="Times New Roman" w:hAnsi="Times New Roman" w:eastAsia="宋体" w:cs="Times New Roman"/>
          <w:sz w:val="24"/>
          <w:szCs w:val="28"/>
          <w:lang w:val="en-US" w:eastAsia="zh-CN"/>
        </w:rPr>
        <w:t>推动农业产业升级和结构调整，提高农业生产效率和产品质量。</w:t>
      </w:r>
    </w:p>
    <w:p>
      <w:pPr>
        <w:numPr>
          <w:ilvl w:val="0"/>
          <w:numId w:val="0"/>
        </w:numPr>
        <w:adjustRightInd/>
        <w:spacing w:line="360" w:lineRule="auto"/>
        <w:ind w:firstLine="480" w:firstLineChars="200"/>
        <w:rPr>
          <w:rFonts w:hint="default" w:ascii="Times New Roman" w:hAnsi="Times New Roman" w:eastAsia="宋体" w:cs="Times New Roman"/>
          <w:sz w:val="24"/>
          <w:szCs w:val="28"/>
          <w:lang w:val="en-US" w:eastAsia="zh-CN"/>
        </w:rPr>
      </w:pPr>
      <w:r>
        <w:rPr>
          <w:rFonts w:hint="eastAsia"/>
          <w:sz w:val="24"/>
          <w:szCs w:val="28"/>
          <w:lang w:eastAsia="zh-CN"/>
        </w:rPr>
        <w:t>（</w:t>
      </w:r>
      <w:r>
        <w:rPr>
          <w:rFonts w:hint="eastAsia"/>
          <w:sz w:val="24"/>
          <w:szCs w:val="28"/>
          <w:lang w:val="en-US" w:eastAsia="zh-CN"/>
        </w:rPr>
        <w:t>2</w:t>
      </w:r>
      <w:r>
        <w:rPr>
          <w:rFonts w:hint="eastAsia"/>
          <w:sz w:val="24"/>
          <w:szCs w:val="28"/>
          <w:lang w:eastAsia="zh-CN"/>
        </w:rPr>
        <w:t>）</w:t>
      </w:r>
      <w:r>
        <w:rPr>
          <w:rFonts w:hint="eastAsia"/>
          <w:sz w:val="24"/>
          <w:szCs w:val="28"/>
        </w:rPr>
        <w:t>社会效益</w:t>
      </w:r>
    </w:p>
    <w:p>
      <w:pPr>
        <w:adjustRightInd/>
        <w:spacing w:line="360" w:lineRule="auto"/>
        <w:rPr>
          <w:rFonts w:hint="default"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从社会效益角度来看，有助于农业建设项目的顺利实施，</w:t>
      </w:r>
      <w:r>
        <w:rPr>
          <w:rFonts w:hint="default" w:ascii="Times New Roman" w:hAnsi="Times New Roman" w:eastAsia="宋体" w:cs="Times New Roman"/>
          <w:sz w:val="24"/>
          <w:szCs w:val="28"/>
          <w:lang w:val="en-US" w:eastAsia="zh-CN"/>
        </w:rPr>
        <w:t>改善农村</w:t>
      </w:r>
      <w:r>
        <w:rPr>
          <w:rFonts w:hint="eastAsia" w:ascii="Times New Roman" w:hAnsi="Times New Roman" w:eastAsia="宋体" w:cs="Times New Roman"/>
          <w:sz w:val="24"/>
          <w:szCs w:val="28"/>
          <w:lang w:val="en-US" w:eastAsia="zh-CN"/>
        </w:rPr>
        <w:t>生活和农业生产</w:t>
      </w:r>
      <w:r>
        <w:rPr>
          <w:rFonts w:hint="default" w:ascii="Times New Roman" w:hAnsi="Times New Roman" w:eastAsia="宋体" w:cs="Times New Roman"/>
          <w:sz w:val="24"/>
          <w:szCs w:val="28"/>
          <w:lang w:val="en-US" w:eastAsia="zh-CN"/>
        </w:rPr>
        <w:t>基础设施</w:t>
      </w:r>
      <w:r>
        <w:rPr>
          <w:rFonts w:hint="eastAsia" w:ascii="Times New Roman" w:hAnsi="Times New Roman" w:eastAsia="宋体" w:cs="Times New Roman"/>
          <w:sz w:val="24"/>
          <w:szCs w:val="28"/>
          <w:lang w:val="en-US" w:eastAsia="zh-CN"/>
        </w:rPr>
        <w:t>条件，</w:t>
      </w:r>
      <w:r>
        <w:rPr>
          <w:rFonts w:hint="default" w:ascii="Times New Roman" w:hAnsi="Times New Roman" w:eastAsia="宋体" w:cs="Times New Roman"/>
          <w:sz w:val="24"/>
          <w:szCs w:val="28"/>
          <w:lang w:val="en-US" w:eastAsia="zh-CN"/>
        </w:rPr>
        <w:t>提高农业生产条件</w:t>
      </w:r>
      <w:r>
        <w:rPr>
          <w:rFonts w:hint="eastAsia" w:ascii="Times New Roman" w:hAnsi="Times New Roman" w:eastAsia="宋体" w:cs="Times New Roman"/>
          <w:sz w:val="24"/>
          <w:szCs w:val="28"/>
          <w:lang w:val="en-US" w:eastAsia="zh-CN"/>
        </w:rPr>
        <w:t>和</w:t>
      </w:r>
      <w:r>
        <w:rPr>
          <w:rFonts w:hint="default" w:ascii="Times New Roman" w:hAnsi="Times New Roman" w:eastAsia="宋体" w:cs="Times New Roman"/>
          <w:sz w:val="24"/>
          <w:szCs w:val="28"/>
          <w:lang w:val="en-US" w:eastAsia="zh-CN"/>
        </w:rPr>
        <w:t>农业生产效率，提升农村整体面貌</w:t>
      </w:r>
      <w:r>
        <w:rPr>
          <w:rFonts w:hint="eastAsia" w:ascii="Times New Roman" w:hAnsi="Times New Roman" w:eastAsia="宋体" w:cs="Times New Roman"/>
          <w:sz w:val="24"/>
          <w:szCs w:val="28"/>
          <w:lang w:val="en-US" w:eastAsia="zh-CN"/>
        </w:rPr>
        <w:t>，</w:t>
      </w:r>
      <w:r>
        <w:rPr>
          <w:rFonts w:hint="default" w:ascii="Times New Roman" w:hAnsi="Times New Roman" w:eastAsia="宋体" w:cs="Times New Roman"/>
          <w:sz w:val="24"/>
          <w:szCs w:val="28"/>
          <w:lang w:val="en-US" w:eastAsia="zh-CN"/>
        </w:rPr>
        <w:t>促进农村经济的多元化发展，增强农村自我发展能力，为乡村振兴提供有力支撑。</w:t>
      </w:r>
      <w:r>
        <w:rPr>
          <w:rFonts w:hint="eastAsia" w:ascii="Times New Roman" w:hAnsi="Times New Roman" w:eastAsia="宋体" w:cs="Times New Roman"/>
          <w:sz w:val="24"/>
          <w:szCs w:val="28"/>
          <w:lang w:val="en-US" w:eastAsia="zh-CN"/>
        </w:rPr>
        <w:t>同时有助于项目建设中</w:t>
      </w:r>
      <w:r>
        <w:rPr>
          <w:rFonts w:hint="default" w:ascii="Times New Roman" w:hAnsi="Times New Roman" w:eastAsia="宋体" w:cs="Times New Roman"/>
          <w:sz w:val="24"/>
          <w:szCs w:val="28"/>
          <w:lang w:val="en-US" w:eastAsia="zh-CN"/>
        </w:rPr>
        <w:t>创造大量的就业机会，缓解农村剩余劳动力问题</w:t>
      </w:r>
      <w:r>
        <w:rPr>
          <w:rFonts w:hint="eastAsia" w:ascii="Times New Roman" w:hAnsi="Times New Roman" w:eastAsia="宋体" w:cs="Times New Roman"/>
          <w:sz w:val="24"/>
          <w:szCs w:val="28"/>
          <w:lang w:val="en-US" w:eastAsia="zh-CN"/>
        </w:rPr>
        <w:t>，</w:t>
      </w:r>
      <w:r>
        <w:rPr>
          <w:rFonts w:hint="default" w:ascii="Times New Roman" w:hAnsi="Times New Roman" w:eastAsia="宋体" w:cs="Times New Roman"/>
          <w:sz w:val="24"/>
          <w:szCs w:val="28"/>
          <w:lang w:val="en-US" w:eastAsia="zh-CN"/>
        </w:rPr>
        <w:t>直接增加农民收入，改善农民生活水平，缩小城乡收入差距，促进社会和谐稳定。</w:t>
      </w:r>
    </w:p>
    <w:p>
      <w:pPr>
        <w:adjustRightInd/>
        <w:spacing w:line="360" w:lineRule="auto"/>
        <w:ind w:firstLine="480" w:firstLineChars="200"/>
        <w:rPr>
          <w:rFonts w:hint="eastAsia"/>
          <w:sz w:val="24"/>
          <w:szCs w:val="28"/>
        </w:rPr>
      </w:pPr>
      <w:r>
        <w:rPr>
          <w:rFonts w:hint="eastAsia"/>
          <w:sz w:val="24"/>
          <w:szCs w:val="28"/>
          <w:lang w:eastAsia="zh-CN"/>
        </w:rPr>
        <w:t>（</w:t>
      </w:r>
      <w:r>
        <w:rPr>
          <w:rFonts w:hint="eastAsia"/>
          <w:sz w:val="24"/>
          <w:szCs w:val="28"/>
          <w:lang w:val="en-US" w:eastAsia="zh-CN"/>
        </w:rPr>
        <w:t>3</w:t>
      </w:r>
      <w:r>
        <w:rPr>
          <w:rFonts w:hint="eastAsia"/>
          <w:sz w:val="24"/>
          <w:szCs w:val="28"/>
          <w:lang w:eastAsia="zh-CN"/>
        </w:rPr>
        <w:t>）</w:t>
      </w:r>
      <w:r>
        <w:rPr>
          <w:rFonts w:hint="eastAsia"/>
          <w:sz w:val="24"/>
          <w:szCs w:val="28"/>
        </w:rPr>
        <w:t>生态效益</w:t>
      </w:r>
    </w:p>
    <w:p>
      <w:pPr>
        <w:adjustRightInd/>
        <w:spacing w:line="360" w:lineRule="auto"/>
        <w:ind w:firstLine="480" w:firstLineChars="200"/>
        <w:rPr>
          <w:rFonts w:hint="default" w:ascii="Times New Roman" w:hAnsi="Times New Roman" w:eastAsia="宋体" w:cs="Times New Roman"/>
          <w:sz w:val="24"/>
          <w:szCs w:val="28"/>
          <w:lang w:val="en-US" w:eastAsia="zh-CN"/>
        </w:rPr>
      </w:pPr>
      <w:r>
        <w:rPr>
          <w:rFonts w:hint="eastAsia"/>
          <w:sz w:val="24"/>
          <w:szCs w:val="28"/>
        </w:rPr>
        <w:t>在生态效益方面，</w:t>
      </w:r>
      <w:r>
        <w:rPr>
          <w:rFonts w:hint="default" w:ascii="Times New Roman" w:hAnsi="Times New Roman" w:eastAsia="宋体" w:cs="Times New Roman"/>
          <w:sz w:val="24"/>
          <w:szCs w:val="28"/>
          <w:lang w:val="en-US" w:eastAsia="zh-CN"/>
        </w:rPr>
        <w:t>通过项目的成功实施和示范推广，可以带动周边地区乃至整个行业的生态化转型</w:t>
      </w:r>
      <w:r>
        <w:rPr>
          <w:rFonts w:hint="eastAsia" w:ascii="Times New Roman" w:hAnsi="Times New Roman" w:eastAsia="宋体" w:cs="Times New Roman"/>
          <w:sz w:val="24"/>
          <w:szCs w:val="28"/>
          <w:lang w:val="en-US" w:eastAsia="zh-CN"/>
        </w:rPr>
        <w:t>，</w:t>
      </w:r>
      <w:r>
        <w:rPr>
          <w:rFonts w:hint="default" w:ascii="Times New Roman" w:hAnsi="Times New Roman" w:eastAsia="宋体" w:cs="Times New Roman"/>
          <w:sz w:val="24"/>
          <w:szCs w:val="28"/>
          <w:lang w:val="en-US" w:eastAsia="zh-CN"/>
        </w:rPr>
        <w:t>推动农业生态化、绿色化、可持续化发展。</w:t>
      </w:r>
      <w:r>
        <w:rPr>
          <w:rFonts w:hint="eastAsia" w:ascii="Times New Roman" w:hAnsi="Times New Roman" w:eastAsia="宋体" w:cs="Times New Roman"/>
          <w:sz w:val="24"/>
          <w:szCs w:val="28"/>
          <w:lang w:val="en-US" w:eastAsia="zh-CN"/>
        </w:rPr>
        <w:t>高标准农田建设、面源污染治理等</w:t>
      </w:r>
      <w:r>
        <w:rPr>
          <w:rFonts w:hint="default" w:ascii="Times New Roman" w:hAnsi="Times New Roman" w:eastAsia="宋体" w:cs="Times New Roman"/>
          <w:sz w:val="24"/>
          <w:szCs w:val="28"/>
          <w:lang w:val="en-US" w:eastAsia="zh-CN"/>
        </w:rPr>
        <w:t>农业建设项目</w:t>
      </w:r>
      <w:r>
        <w:rPr>
          <w:rFonts w:hint="eastAsia" w:ascii="Times New Roman" w:hAnsi="Times New Roman" w:eastAsia="宋体" w:cs="Times New Roman"/>
          <w:sz w:val="24"/>
          <w:szCs w:val="28"/>
          <w:lang w:val="en-US" w:eastAsia="zh-CN"/>
        </w:rPr>
        <w:t>通过科学编制可研报告后，</w:t>
      </w:r>
      <w:r>
        <w:rPr>
          <w:rFonts w:hint="default" w:ascii="Times New Roman" w:hAnsi="Times New Roman" w:eastAsia="宋体" w:cs="Times New Roman"/>
          <w:sz w:val="24"/>
          <w:szCs w:val="28"/>
          <w:lang w:val="en-US" w:eastAsia="zh-CN"/>
        </w:rPr>
        <w:t>通过土地整治、农田防护与生态环境保护等工程建设，改善农田生态环境，提高土壤肥力，提高水资源和肥料的利用效率，促进农业生态系统的良性循环，实现资源的循环利用和减少环境污染。</w:t>
      </w:r>
      <w:r>
        <w:rPr>
          <w:rFonts w:hint="eastAsia" w:ascii="Times New Roman" w:hAnsi="Times New Roman" w:eastAsia="宋体" w:cs="Times New Roman"/>
          <w:sz w:val="24"/>
          <w:szCs w:val="28"/>
          <w:lang w:val="en-US" w:eastAsia="zh-CN"/>
        </w:rPr>
        <w:t>同时</w:t>
      </w:r>
      <w:r>
        <w:rPr>
          <w:rFonts w:hint="default" w:ascii="Times New Roman" w:hAnsi="Times New Roman" w:eastAsia="宋体" w:cs="Times New Roman"/>
          <w:sz w:val="24"/>
          <w:szCs w:val="28"/>
          <w:lang w:val="en-US" w:eastAsia="zh-CN"/>
        </w:rPr>
        <w:t>农业建设项目往往具有示范带动作用，项目在生态效益方面的突出表现将吸引更多农民和企业参与生态农业建设</w:t>
      </w:r>
      <w:r>
        <w:rPr>
          <w:rFonts w:hint="eastAsia" w:ascii="Times New Roman" w:hAnsi="Times New Roman" w:eastAsia="宋体" w:cs="Times New Roman"/>
          <w:sz w:val="24"/>
          <w:szCs w:val="28"/>
          <w:lang w:val="en-US" w:eastAsia="zh-CN"/>
        </w:rPr>
        <w:t>。</w:t>
      </w:r>
    </w:p>
    <w:p>
      <w:pPr>
        <w:pStyle w:val="3"/>
        <w:rPr>
          <w:rFonts w:ascii="Times New Roman" w:hAnsi="Times New Roman"/>
        </w:rPr>
      </w:pPr>
      <w:bookmarkStart w:id="75" w:name="_Toc32222"/>
      <w:bookmarkStart w:id="76" w:name="_Toc29727"/>
      <w:bookmarkStart w:id="77" w:name="_Toc171619408"/>
      <w:bookmarkStart w:id="78" w:name="_Toc171599196"/>
      <w:r>
        <w:rPr>
          <w:rFonts w:hint="eastAsia" w:ascii="Times New Roman" w:hAnsi="Times New Roman"/>
        </w:rPr>
        <w:t>与国际、国外同类标准技术内容的对比情况</w:t>
      </w:r>
      <w:bookmarkEnd w:id="75"/>
      <w:bookmarkEnd w:id="76"/>
      <w:bookmarkEnd w:id="77"/>
      <w:bookmarkEnd w:id="78"/>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根据调查，目前国际上没有对项目可行性研究报告编制的相关标准，国内不同行业对可行性研究报告编制的规定略有差别，航空、林业等行业只是制定了对本行业项目可行性研究报告编制的相关办法或者实施细则，有农业、水利水电、煤炭行业制定并发布了对项目可行性研究报告的编制规程（详见表1）。本标准是对2015年农业部发布《农业建设项目可行性研究报告编制规程》（NY/T2772-2015）的修订。</w:t>
      </w:r>
    </w:p>
    <w:p>
      <w:pPr>
        <w:pStyle w:val="2"/>
        <w:rPr>
          <w:rFonts w:hint="eastAsia" w:ascii="Times New Roman" w:hAnsi="Times New Roman" w:eastAsia="宋体" w:cs="Times New Roman"/>
          <w:sz w:val="24"/>
          <w:szCs w:val="28"/>
          <w:lang w:val="en-US" w:eastAsia="zh-CN"/>
        </w:rPr>
      </w:pPr>
    </w:p>
    <w:p>
      <w:pPr>
        <w:pStyle w:val="2"/>
        <w:rPr>
          <w:rFonts w:hint="eastAsia" w:ascii="Times New Roman" w:hAnsi="Times New Roman" w:eastAsia="宋体" w:cs="Times New Roman"/>
          <w:sz w:val="24"/>
          <w:szCs w:val="28"/>
          <w:lang w:val="en-US" w:eastAsia="zh-CN"/>
        </w:rPr>
      </w:pPr>
      <w:bookmarkStart w:id="109" w:name="_GoBack"/>
      <w:bookmarkEnd w:id="109"/>
    </w:p>
    <w:p>
      <w:pPr>
        <w:keepNext/>
        <w:widowControl/>
        <w:ind w:firstLine="0" w:firstLineChars="0"/>
        <w:jc w:val="center"/>
        <w:rPr>
          <w:rFonts w:eastAsia="黑体"/>
          <w:sz w:val="24"/>
        </w:rPr>
      </w:pPr>
      <w:r>
        <w:rPr>
          <w:rFonts w:eastAsia="黑体"/>
          <w:sz w:val="24"/>
        </w:rPr>
        <w:t>表1  国</w:t>
      </w:r>
      <w:r>
        <w:rPr>
          <w:rFonts w:hint="eastAsia" w:eastAsia="黑体"/>
          <w:sz w:val="24"/>
          <w:lang w:eastAsia="zh-CN"/>
        </w:rPr>
        <w:t>内</w:t>
      </w:r>
      <w:r>
        <w:rPr>
          <w:rFonts w:eastAsia="黑体"/>
          <w:sz w:val="24"/>
        </w:rPr>
        <w:t>相关标准情况</w:t>
      </w:r>
    </w:p>
    <w:tbl>
      <w:tblPr>
        <w:tblStyle w:val="21"/>
        <w:tblW w:w="50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988"/>
        <w:gridCol w:w="5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blHeader/>
          <w:jc w:val="center"/>
        </w:trPr>
        <w:tc>
          <w:tcPr>
            <w:tcW w:w="478" w:type="pct"/>
            <w:noWrap/>
            <w:vAlign w:val="center"/>
          </w:tcPr>
          <w:p>
            <w:pPr>
              <w:snapToGrid w:val="0"/>
              <w:spacing w:before="93" w:beforeLines="30" w:beforeAutospacing="0" w:after="93" w:afterLines="30" w:line="240" w:lineRule="auto"/>
              <w:ind w:firstLine="0" w:firstLineChars="0"/>
              <w:jc w:val="center"/>
              <w:rPr>
                <w:b/>
              </w:rPr>
            </w:pPr>
            <w:r>
              <w:rPr>
                <w:b/>
              </w:rPr>
              <w:t>序号</w:t>
            </w:r>
          </w:p>
        </w:tc>
        <w:tc>
          <w:tcPr>
            <w:tcW w:w="1165" w:type="pct"/>
            <w:noWrap/>
            <w:vAlign w:val="center"/>
          </w:tcPr>
          <w:p>
            <w:pPr>
              <w:snapToGrid w:val="0"/>
              <w:spacing w:before="93" w:beforeLines="30" w:beforeAutospacing="0" w:after="93" w:afterLines="30" w:line="240" w:lineRule="auto"/>
              <w:ind w:firstLine="0" w:firstLineChars="0"/>
              <w:jc w:val="center"/>
              <w:rPr>
                <w:b/>
              </w:rPr>
            </w:pPr>
            <w:r>
              <w:rPr>
                <w:b/>
              </w:rPr>
              <w:t>标准号</w:t>
            </w:r>
          </w:p>
        </w:tc>
        <w:tc>
          <w:tcPr>
            <w:tcW w:w="3356" w:type="pct"/>
            <w:noWrap w:val="0"/>
            <w:vAlign w:val="center"/>
          </w:tcPr>
          <w:p>
            <w:pPr>
              <w:snapToGrid w:val="0"/>
              <w:spacing w:before="93" w:beforeLines="30" w:beforeAutospacing="0" w:after="93" w:afterLines="30" w:line="240" w:lineRule="auto"/>
              <w:ind w:firstLine="0" w:firstLineChars="0"/>
              <w:jc w:val="center"/>
              <w:rPr>
                <w:b/>
              </w:rPr>
            </w:pPr>
            <w:r>
              <w:rPr>
                <w:b/>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478" w:type="pct"/>
            <w:noWrap/>
            <w:vAlign w:val="center"/>
          </w:tcPr>
          <w:p>
            <w:pPr>
              <w:snapToGrid w:val="0"/>
              <w:spacing w:before="93" w:beforeLines="30" w:beforeAutospacing="0" w:after="93" w:afterLines="30" w:line="240" w:lineRule="auto"/>
              <w:ind w:firstLine="0" w:firstLineChars="0"/>
              <w:jc w:val="center"/>
            </w:pPr>
            <w:r>
              <w:t>1</w:t>
            </w:r>
          </w:p>
        </w:tc>
        <w:tc>
          <w:tcPr>
            <w:tcW w:w="1165" w:type="pct"/>
            <w:noWrap/>
            <w:vAlign w:val="center"/>
          </w:tcPr>
          <w:p>
            <w:pPr>
              <w:snapToGrid w:val="0"/>
              <w:spacing w:before="93" w:beforeLines="30" w:beforeAutospacing="0" w:after="93" w:afterLines="30" w:line="240" w:lineRule="auto"/>
              <w:ind w:firstLine="0" w:firstLineChars="0"/>
              <w:jc w:val="center"/>
            </w:pPr>
            <w:r>
              <w:rPr>
                <w:rFonts w:hint="eastAsia" w:ascii="Times New Roman" w:hAnsi="Times New Roman" w:eastAsia="宋体" w:cs="Times New Roman"/>
                <w:lang w:val="en-US" w:eastAsia="zh-CN"/>
              </w:rPr>
              <w:t>NY/T2772-2015</w:t>
            </w:r>
          </w:p>
        </w:tc>
        <w:tc>
          <w:tcPr>
            <w:tcW w:w="3356" w:type="pct"/>
            <w:noWrap w:val="0"/>
            <w:vAlign w:val="top"/>
          </w:tcPr>
          <w:p>
            <w:pPr>
              <w:snapToGrid w:val="0"/>
              <w:spacing w:before="93" w:beforeLines="30" w:beforeAutospacing="0" w:after="93" w:afterLines="30" w:line="240" w:lineRule="auto"/>
              <w:ind w:firstLine="0" w:firstLineChars="0"/>
              <w:jc w:val="center"/>
              <w:rPr>
                <w:rFonts w:hint="eastAsia" w:eastAsia="宋体"/>
                <w:lang w:eastAsia="zh-CN"/>
              </w:rPr>
            </w:pPr>
            <w:r>
              <w:rPr>
                <w:rFonts w:hint="eastAsia" w:ascii="Times New Roman" w:hAnsi="Times New Roman" w:eastAsia="宋体" w:cs="Times New Roman"/>
                <w:lang w:val="en-US" w:eastAsia="zh-CN"/>
              </w:rPr>
              <w:t>农业建设项目可行性研究报告编制规程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478" w:type="pct"/>
            <w:noWrap/>
            <w:vAlign w:val="center"/>
          </w:tcPr>
          <w:p>
            <w:pPr>
              <w:snapToGrid w:val="0"/>
              <w:spacing w:before="93" w:beforeLines="30" w:beforeAutospacing="0" w:after="93" w:afterLines="30" w:line="240" w:lineRule="auto"/>
              <w:ind w:firstLine="0" w:firstLineChars="0"/>
              <w:jc w:val="center"/>
            </w:pPr>
            <w:r>
              <w:t>2</w:t>
            </w:r>
          </w:p>
        </w:tc>
        <w:tc>
          <w:tcPr>
            <w:tcW w:w="1165" w:type="pct"/>
            <w:noWrap/>
            <w:vAlign w:val="center"/>
          </w:tcPr>
          <w:p>
            <w:pPr>
              <w:snapToGrid w:val="0"/>
              <w:spacing w:before="93" w:beforeLines="30" w:beforeAutospacing="0" w:after="93" w:afterLines="30" w:line="240" w:lineRule="auto"/>
              <w:ind w:firstLine="0" w:firstLineChars="0"/>
              <w:jc w:val="center"/>
              <w:rPr>
                <w:rFonts w:hint="default" w:eastAsia="宋体"/>
                <w:lang w:val="en-US" w:eastAsia="zh-CN"/>
              </w:rPr>
            </w:pPr>
            <w:r>
              <w:rPr>
                <w:rFonts w:hint="eastAsia"/>
                <w:lang w:val="en-US" w:eastAsia="zh-CN"/>
              </w:rPr>
              <w:t>SL/T 618-2021</w:t>
            </w:r>
          </w:p>
        </w:tc>
        <w:tc>
          <w:tcPr>
            <w:tcW w:w="3356" w:type="pct"/>
            <w:noWrap w:val="0"/>
            <w:vAlign w:val="top"/>
          </w:tcPr>
          <w:p>
            <w:pPr>
              <w:snapToGrid w:val="0"/>
              <w:spacing w:before="93" w:beforeLines="30" w:beforeAutospacing="0" w:after="93" w:afterLines="30" w:line="240" w:lineRule="auto"/>
              <w:ind w:firstLine="0" w:firstLineChars="0"/>
              <w:jc w:val="center"/>
              <w:rPr>
                <w:rFonts w:hint="eastAsia" w:eastAsia="宋体"/>
                <w:lang w:eastAsia="zh-CN"/>
              </w:rPr>
            </w:pPr>
            <w:r>
              <w:rPr>
                <w:rFonts w:hint="eastAsia"/>
                <w:lang w:eastAsia="zh-CN"/>
              </w:rPr>
              <w:t>水利水电工程可行性研究报告编制规程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478" w:type="pct"/>
            <w:noWrap/>
            <w:vAlign w:val="center"/>
          </w:tcPr>
          <w:p>
            <w:pPr>
              <w:snapToGrid w:val="0"/>
              <w:spacing w:before="93" w:beforeLines="30" w:beforeAutospacing="0" w:after="93" w:afterLines="30" w:line="240" w:lineRule="auto"/>
              <w:ind w:firstLine="0" w:firstLineChars="0"/>
              <w:jc w:val="center"/>
              <w:rPr>
                <w:rFonts w:hint="eastAsia" w:eastAsia="宋体"/>
                <w:lang w:val="en-US" w:eastAsia="zh-CN"/>
              </w:rPr>
            </w:pPr>
            <w:r>
              <w:rPr>
                <w:rFonts w:hint="eastAsia"/>
                <w:lang w:val="en-US" w:eastAsia="zh-CN"/>
              </w:rPr>
              <w:t>3</w:t>
            </w:r>
          </w:p>
        </w:tc>
        <w:tc>
          <w:tcPr>
            <w:tcW w:w="1165" w:type="pct"/>
            <w:noWrap/>
            <w:vAlign w:val="center"/>
          </w:tcPr>
          <w:p>
            <w:pPr>
              <w:snapToGrid w:val="0"/>
              <w:spacing w:before="93" w:beforeLines="30" w:beforeAutospacing="0" w:after="93" w:afterLines="30" w:line="240" w:lineRule="auto"/>
              <w:ind w:firstLine="0" w:firstLineChars="0"/>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MT/T1153-2011</w:t>
            </w:r>
          </w:p>
        </w:tc>
        <w:tc>
          <w:tcPr>
            <w:tcW w:w="3356" w:type="pct"/>
            <w:noWrap w:val="0"/>
            <w:vAlign w:val="top"/>
          </w:tcPr>
          <w:p>
            <w:pPr>
              <w:snapToGrid w:val="0"/>
              <w:spacing w:before="93" w:beforeLines="30" w:beforeAutospacing="0" w:after="93" w:afterLines="30" w:line="240" w:lineRule="auto"/>
              <w:ind w:firstLine="0" w:firstLineChars="0"/>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煤炭工业选煤厂工程建设项目可行性研究报告编制标准</w:t>
            </w:r>
          </w:p>
        </w:tc>
      </w:tr>
    </w:tbl>
    <w:p>
      <w:pPr>
        <w:adjustRightInd/>
        <w:spacing w:line="360" w:lineRule="auto"/>
        <w:ind w:firstLine="480" w:firstLineChars="200"/>
        <w:rPr>
          <w:rFonts w:hint="eastAsia"/>
          <w:sz w:val="24"/>
          <w:szCs w:val="28"/>
        </w:rPr>
      </w:pPr>
    </w:p>
    <w:p>
      <w:pPr>
        <w:pStyle w:val="3"/>
        <w:rPr>
          <w:rFonts w:ascii="Times New Roman" w:hAnsi="Times New Roman"/>
        </w:rPr>
      </w:pPr>
      <w:bookmarkStart w:id="79" w:name="_Toc171599197"/>
      <w:bookmarkStart w:id="80" w:name="_Toc25518"/>
      <w:bookmarkStart w:id="81" w:name="_Toc171619409"/>
      <w:bookmarkStart w:id="82" w:name="_Toc7999"/>
      <w:r>
        <w:rPr>
          <w:rFonts w:hint="eastAsia" w:ascii="Times New Roman" w:hAnsi="Times New Roman"/>
        </w:rPr>
        <w:t>以国际标准为基础的起草情况，以及是否合规引用或者采用国际国外标准，并说明未采用国际的原因</w:t>
      </w:r>
      <w:bookmarkEnd w:id="79"/>
      <w:bookmarkEnd w:id="80"/>
      <w:bookmarkEnd w:id="81"/>
      <w:bookmarkEnd w:id="82"/>
      <w:r>
        <w:rPr>
          <w:rFonts w:hint="eastAsia" w:ascii="Times New Roman" w:hAnsi="Times New Roman"/>
        </w:rPr>
        <w:t xml:space="preserve"> </w:t>
      </w:r>
    </w:p>
    <w:p>
      <w:pPr>
        <w:adjustRightInd/>
        <w:spacing w:line="360" w:lineRule="auto"/>
        <w:ind w:firstLine="480" w:firstLineChars="200"/>
        <w:rPr>
          <w:rFonts w:hint="eastAsia"/>
          <w:sz w:val="24"/>
          <w:szCs w:val="28"/>
        </w:rPr>
      </w:pPr>
      <w:r>
        <w:rPr>
          <w:rFonts w:hint="eastAsia" w:ascii="Times New Roman" w:hAnsi="Times New Roman" w:eastAsia="宋体" w:cs="Times New Roman"/>
          <w:sz w:val="24"/>
          <w:szCs w:val="28"/>
          <w:lang w:val="en-US" w:eastAsia="zh-CN"/>
        </w:rPr>
        <w:t>根据调查，目前国际上没有对项目可行性研究报告编制的相关标准</w:t>
      </w:r>
      <w:r>
        <w:rPr>
          <w:rFonts w:hint="eastAsia"/>
          <w:sz w:val="24"/>
          <w:szCs w:val="28"/>
        </w:rPr>
        <w:t>。</w:t>
      </w:r>
    </w:p>
    <w:p>
      <w:pPr>
        <w:pStyle w:val="3"/>
        <w:rPr>
          <w:rFonts w:ascii="Times New Roman" w:hAnsi="Times New Roman"/>
        </w:rPr>
      </w:pPr>
      <w:bookmarkStart w:id="83" w:name="_Toc171599198"/>
      <w:bookmarkStart w:id="84" w:name="_Toc171619410"/>
      <w:bookmarkStart w:id="85" w:name="_Toc23253"/>
      <w:bookmarkStart w:id="86" w:name="_Toc4960"/>
      <w:r>
        <w:rPr>
          <w:rFonts w:hint="eastAsia" w:ascii="Times New Roman" w:hAnsi="Times New Roman"/>
        </w:rPr>
        <w:t>与有关法律、行政法规及相关标准的关系</w:t>
      </w:r>
      <w:bookmarkEnd w:id="83"/>
      <w:bookmarkEnd w:id="84"/>
      <w:bookmarkEnd w:id="85"/>
      <w:bookmarkEnd w:id="86"/>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本标准是行业推荐性文件，是对2015年</w:t>
      </w:r>
      <w:bookmarkStart w:id="87" w:name="_Toc10860"/>
      <w:bookmarkStart w:id="88" w:name="_Toc28197"/>
      <w:bookmarkStart w:id="89" w:name="StandardName"/>
      <w:r>
        <w:rPr>
          <w:rFonts w:hint="eastAsia" w:ascii="Times New Roman" w:hAnsi="Times New Roman" w:eastAsia="宋体" w:cs="Times New Roman"/>
          <w:sz w:val="24"/>
          <w:szCs w:val="28"/>
          <w:lang w:val="en-US" w:eastAsia="zh-CN"/>
        </w:rPr>
        <w:t>《农业建设项目可行性研究报告编制规程</w:t>
      </w:r>
      <w:bookmarkEnd w:id="87"/>
      <w:bookmarkEnd w:id="88"/>
      <w:bookmarkEnd w:id="89"/>
      <w:r>
        <w:rPr>
          <w:rFonts w:hint="eastAsia" w:ascii="Times New Roman" w:hAnsi="Times New Roman" w:eastAsia="宋体" w:cs="Times New Roman"/>
          <w:sz w:val="24"/>
          <w:szCs w:val="28"/>
          <w:lang w:val="en-US" w:eastAsia="zh-CN"/>
        </w:rPr>
        <w:t>》的修订，在可研新大纲的框架下编写，符合现行法律、法规的相关要求，并借鉴和吸收了我国农业工程建设相关标准的内容，相互之间没有抵触和矛盾。</w:t>
      </w:r>
    </w:p>
    <w:p>
      <w:pPr>
        <w:pStyle w:val="3"/>
        <w:rPr>
          <w:rFonts w:ascii="Times New Roman" w:hAnsi="Times New Roman"/>
        </w:rPr>
      </w:pPr>
      <w:bookmarkStart w:id="90" w:name="_Toc171599199"/>
      <w:bookmarkStart w:id="91" w:name="_Toc531195528"/>
      <w:bookmarkStart w:id="92" w:name="_Toc15810"/>
      <w:bookmarkStart w:id="93" w:name="_Toc12187"/>
      <w:bookmarkStart w:id="94" w:name="_Toc171619411"/>
      <w:r>
        <w:rPr>
          <w:rFonts w:ascii="Times New Roman" w:hAnsi="Times New Roman"/>
        </w:rPr>
        <w:t>重大分歧意见的处理经过和依据</w:t>
      </w:r>
      <w:bookmarkEnd w:id="90"/>
      <w:bookmarkEnd w:id="91"/>
      <w:bookmarkEnd w:id="92"/>
      <w:bookmarkEnd w:id="93"/>
      <w:bookmarkEnd w:id="94"/>
    </w:p>
    <w:p>
      <w:pPr>
        <w:adjustRightInd/>
        <w:spacing w:line="360" w:lineRule="auto"/>
        <w:ind w:firstLine="480" w:firstLineChars="200"/>
        <w:rPr>
          <w:sz w:val="24"/>
          <w:szCs w:val="28"/>
        </w:rPr>
      </w:pPr>
      <w:r>
        <w:rPr>
          <w:rFonts w:hint="eastAsia"/>
          <w:sz w:val="24"/>
          <w:szCs w:val="28"/>
          <w:lang w:eastAsia="zh-CN"/>
        </w:rPr>
        <w:t>本标准处于征求意见阶段，尚未出现重大分歧意见</w:t>
      </w:r>
      <w:r>
        <w:rPr>
          <w:sz w:val="24"/>
          <w:szCs w:val="28"/>
        </w:rPr>
        <w:t>。</w:t>
      </w:r>
    </w:p>
    <w:p>
      <w:pPr>
        <w:pStyle w:val="3"/>
        <w:rPr>
          <w:rFonts w:ascii="Times New Roman" w:hAnsi="Times New Roman"/>
        </w:rPr>
      </w:pPr>
      <w:bookmarkStart w:id="95" w:name="_Toc26722"/>
      <w:bookmarkStart w:id="96" w:name="_Toc171619412"/>
      <w:bookmarkStart w:id="97" w:name="_Toc171599200"/>
      <w:bookmarkStart w:id="98" w:name="_Toc23264"/>
      <w:r>
        <w:rPr>
          <w:rFonts w:hint="eastAsia" w:ascii="Times New Roman" w:hAnsi="Times New Roman"/>
        </w:rPr>
        <w:t>涉及专利的有关说明</w:t>
      </w:r>
      <w:bookmarkEnd w:id="95"/>
      <w:bookmarkEnd w:id="96"/>
      <w:bookmarkEnd w:id="97"/>
      <w:bookmarkEnd w:id="98"/>
    </w:p>
    <w:p>
      <w:pPr>
        <w:adjustRightInd/>
        <w:spacing w:line="360" w:lineRule="auto"/>
        <w:ind w:firstLine="480" w:firstLineChars="200"/>
        <w:rPr>
          <w:sz w:val="24"/>
          <w:szCs w:val="28"/>
        </w:rPr>
      </w:pPr>
      <w:r>
        <w:rPr>
          <w:rFonts w:hint="eastAsia"/>
          <w:sz w:val="24"/>
          <w:szCs w:val="28"/>
        </w:rPr>
        <w:t>不涉及专利。</w:t>
      </w:r>
    </w:p>
    <w:p>
      <w:pPr>
        <w:pStyle w:val="3"/>
        <w:rPr>
          <w:rFonts w:ascii="Times New Roman" w:hAnsi="Times New Roman"/>
        </w:rPr>
      </w:pPr>
      <w:bookmarkStart w:id="99" w:name="_Toc171599201"/>
      <w:bookmarkStart w:id="100" w:name="_Toc171619413"/>
      <w:bookmarkStart w:id="101" w:name="_Toc11678"/>
      <w:bookmarkStart w:id="102" w:name="_Toc3732"/>
      <w:r>
        <w:rPr>
          <w:rFonts w:hint="eastAsia" w:ascii="Times New Roman" w:hAnsi="Times New Roman"/>
        </w:rPr>
        <w:t>实施国家标准的要求，以及组织措施、技术措施、过渡期和实施日期的建议等措施建议</w:t>
      </w:r>
      <w:bookmarkEnd w:id="99"/>
      <w:bookmarkEnd w:id="100"/>
      <w:bookmarkEnd w:id="101"/>
      <w:bookmarkEnd w:id="102"/>
    </w:p>
    <w:p>
      <w:pPr>
        <w:adjustRightInd/>
        <w:spacing w:line="360" w:lineRule="auto"/>
        <w:ind w:firstLine="480" w:firstLineChars="200"/>
        <w:rPr>
          <w:sz w:val="24"/>
          <w:szCs w:val="28"/>
        </w:rPr>
      </w:pPr>
      <w:r>
        <w:rPr>
          <w:sz w:val="24"/>
          <w:szCs w:val="28"/>
        </w:rPr>
        <w:t>本标准颁布实施后，编制组将根据农业农村部的安排，积极做好标准的宣贯培训等工作。为发挥本标准的作用，建议今后有关国家标准、行业标准制修订时，认真做好与本标准之间的协调。</w:t>
      </w:r>
    </w:p>
    <w:p>
      <w:pPr>
        <w:pStyle w:val="3"/>
        <w:rPr>
          <w:rFonts w:ascii="Times New Roman" w:hAnsi="Times New Roman"/>
        </w:rPr>
      </w:pPr>
      <w:bookmarkStart w:id="103" w:name="_Toc171619414"/>
      <w:bookmarkStart w:id="104" w:name="_Toc29324"/>
      <w:bookmarkStart w:id="105" w:name="_Toc7000"/>
      <w:bookmarkStart w:id="106" w:name="_Toc171599202"/>
      <w:r>
        <w:rPr>
          <w:rFonts w:ascii="Times New Roman" w:hAnsi="Times New Roman"/>
        </w:rPr>
        <w:t>其他</w:t>
      </w:r>
      <w:r>
        <w:rPr>
          <w:rFonts w:hint="eastAsia" w:ascii="Times New Roman" w:hAnsi="Times New Roman"/>
        </w:rPr>
        <w:t>应当说明的事项</w:t>
      </w:r>
      <w:bookmarkEnd w:id="103"/>
      <w:bookmarkEnd w:id="104"/>
      <w:bookmarkEnd w:id="105"/>
      <w:bookmarkEnd w:id="106"/>
    </w:p>
    <w:p>
      <w:pPr>
        <w:adjustRightInd/>
        <w:spacing w:line="360" w:lineRule="auto"/>
        <w:ind w:firstLine="480" w:firstLineChars="200"/>
        <w:rPr>
          <w:rFonts w:hint="eastAsia"/>
          <w:sz w:val="24"/>
          <w:szCs w:val="28"/>
        </w:rPr>
      </w:pPr>
      <w:r>
        <w:rPr>
          <w:rFonts w:hint="eastAsia"/>
          <w:sz w:val="24"/>
          <w:szCs w:val="28"/>
        </w:rPr>
        <w:t>无。</w:t>
      </w:r>
    </w:p>
    <w:p>
      <w:pPr>
        <w:rPr>
          <w:rFonts w:hint="eastAsia"/>
          <w:szCs w:val="28"/>
        </w:rPr>
      </w:pPr>
    </w:p>
    <w:p>
      <w:pPr>
        <w:rPr>
          <w:rFonts w:hint="eastAsia"/>
          <w:szCs w:val="28"/>
        </w:rPr>
        <w:sectPr>
          <w:footerReference r:id="rId7" w:type="default"/>
          <w:pgSz w:w="11906" w:h="16838"/>
          <w:pgMar w:top="1440" w:right="1800" w:bottom="1440" w:left="1800" w:header="851" w:footer="992" w:gutter="0"/>
          <w:pgNumType w:start="1"/>
          <w:cols w:space="425" w:num="1"/>
          <w:docGrid w:type="lines" w:linePitch="312" w:charSpace="0"/>
        </w:sectPr>
      </w:pP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63"/>
    <w:bookmarkEnd w:id="64"/>
    <w:bookmarkEnd w:id="65"/>
    <w:p>
      <w:pPr>
        <w:pStyle w:val="3"/>
        <w:numPr>
          <w:ilvl w:val="0"/>
          <w:numId w:val="0"/>
        </w:numPr>
        <w:adjustRightInd/>
        <w:ind w:left="420" w:hanging="420"/>
        <w:jc w:val="both"/>
        <w:rPr>
          <w:rFonts w:ascii="黑体" w:hAnsi="黑体"/>
        </w:rPr>
      </w:pPr>
      <w:bookmarkStart w:id="107" w:name="_Toc31228"/>
      <w:bookmarkStart w:id="108" w:name="_Toc44002686"/>
      <w:r>
        <w:rPr>
          <w:rFonts w:ascii="黑体" w:hAnsi="黑体"/>
        </w:rPr>
        <w:t>参考文献</w:t>
      </w:r>
      <w:bookmarkEnd w:id="107"/>
      <w:bookmarkEnd w:id="108"/>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[1]方松,蔡莹盈,夏耀西.科研单位政府投资基建项目可行性研究框架分析.[J].农业科技管理,2019,38（4）:23-26.</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[2]王艳霞，谭瑶瑶.中央预算内投资农业建设项目评估指标体系构建研究.[J].农业科技管理,2023,42（5）:15-19.</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[3]谭瑶瑶，郭红霞</w:t>
      </w:r>
      <w:r>
        <w:rPr>
          <w:rFonts w:hint="default" w:ascii="Times New Roman" w:hAnsi="Times New Roman" w:eastAsia="宋体" w:cs="Times New Roman"/>
          <w:sz w:val="24"/>
          <w:szCs w:val="28"/>
          <w:lang w:val="en-US" w:eastAsia="zh-CN"/>
        </w:rPr>
        <w:t>.</w:t>
      </w:r>
      <w:r>
        <w:rPr>
          <w:rFonts w:hint="eastAsia" w:ascii="Times New Roman" w:hAnsi="Times New Roman" w:eastAsia="宋体" w:cs="Times New Roman"/>
          <w:sz w:val="24"/>
          <w:szCs w:val="28"/>
          <w:lang w:val="en-US" w:eastAsia="zh-CN"/>
        </w:rPr>
        <w:t>中央预算内投资农业建设项目评估中存在的问题</w:t>
      </w:r>
      <w:r>
        <w:rPr>
          <w:rFonts w:hint="default" w:ascii="Times New Roman" w:hAnsi="Times New Roman" w:eastAsia="宋体" w:cs="Times New Roman"/>
          <w:sz w:val="24"/>
          <w:szCs w:val="28"/>
          <w:lang w:val="en-US" w:eastAsia="zh-CN"/>
        </w:rPr>
        <w:t>及优化建议[J]</w:t>
      </w:r>
      <w:r>
        <w:rPr>
          <w:rFonts w:hint="eastAsia" w:ascii="Times New Roman" w:hAnsi="Times New Roman" w:eastAsia="宋体" w:cs="Times New Roman"/>
          <w:sz w:val="24"/>
          <w:szCs w:val="28"/>
          <w:lang w:val="en-US" w:eastAsia="zh-CN"/>
        </w:rPr>
        <w:t>. 农业工程技术， 2023（5）：5-7.</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[4]王占行，朱少华，陈正，李轶男，李毅.关于农业建设项目管理的问题与思考.中国农业综合开发.2021（11）：29-31.</w:t>
      </w:r>
    </w:p>
    <w:p/>
    <w:p/>
    <w:p>
      <w:pPr>
        <w:pStyle w:val="3"/>
        <w:numPr>
          <w:ilvl w:val="0"/>
          <w:numId w:val="0"/>
        </w:numPr>
        <w:adjustRightInd/>
        <w:ind w:left="420" w:hanging="420"/>
        <w:jc w:val="both"/>
        <w:rPr>
          <w:rFonts w:hint="eastAsia" w:ascii="黑体" w:hAnsi="黑体"/>
          <w:lang w:eastAsia="zh-CN"/>
        </w:rPr>
      </w:pPr>
      <w:r>
        <w:rPr>
          <w:rFonts w:hint="eastAsia" w:ascii="黑体" w:hAnsi="黑体"/>
          <w:lang w:eastAsia="zh-CN"/>
        </w:rPr>
        <w:t>附件：</w:t>
      </w:r>
    </w:p>
    <w:p>
      <w:pPr>
        <w:adjustRightInd/>
        <w:spacing w:line="360" w:lineRule="auto"/>
        <w:ind w:firstLine="480" w:firstLineChars="200"/>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《农业建设项目可行性研究报告编制规程》</w:t>
      </w:r>
      <w:r>
        <w:rPr>
          <w:rFonts w:hint="eastAsia"/>
          <w:color w:val="auto"/>
          <w:sz w:val="24"/>
          <w:szCs w:val="28"/>
          <w:lang w:eastAsia="zh-CN"/>
        </w:rPr>
        <w:t>修订前后技术内容的对比表。</w:t>
      </w:r>
    </w:p>
    <w:p>
      <w:pPr>
        <w:adjustRightInd/>
        <w:spacing w:line="360" w:lineRule="auto"/>
        <w:rPr>
          <w:rFonts w:hint="default" w:ascii="Times New Roman" w:hAnsi="Times New Roman" w:eastAsia="宋体" w:cs="Times New Roman"/>
          <w:sz w:val="24"/>
          <w:szCs w:val="28"/>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uto" w:vAnchor="text" w:hAnchor="margin" w:xAlign="center" w:y="1"/>
      <w:rPr>
        <w:rStyle w:val="25"/>
        <w:sz w:val="18"/>
      </w:rPr>
    </w:pPr>
    <w:r>
      <w:rPr>
        <w:rStyle w:val="25"/>
        <w:sz w:val="18"/>
      </w:rPr>
      <w:fldChar w:fldCharType="begin"/>
    </w:r>
    <w:r>
      <w:rPr>
        <w:rStyle w:val="25"/>
        <w:sz w:val="18"/>
      </w:rPr>
      <w:instrText xml:space="preserve">page  </w:instrText>
    </w:r>
    <w:r>
      <w:rPr>
        <w:rStyle w:val="25"/>
        <w:sz w:val="18"/>
      </w:rPr>
      <w:fldChar w:fldCharType="end"/>
    </w: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7022053"/>
    </w:sdtPr>
    <w:sdtContent>
      <w:p>
        <w:pPr>
          <w:pStyle w:val="16"/>
          <w:jc w:val="center"/>
        </w:pPr>
        <w:r>
          <w:fldChar w:fldCharType="begin"/>
        </w:r>
        <w:r>
          <w:instrText xml:space="preserve">PAGE   \* MERGEFORMAT</w:instrText>
        </w:r>
        <w:r>
          <w:fldChar w:fldCharType="separate"/>
        </w:r>
        <w:r>
          <w:rPr>
            <w:lang w:val="zh-CN"/>
          </w:rPr>
          <w:t>I</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44559354"/>
    </w:sdtPr>
    <w:sdtContent>
      <w:p>
        <w:pPr>
          <w:pStyle w:val="16"/>
          <w:jc w:val="center"/>
        </w:pPr>
        <w:r>
          <w:fldChar w:fldCharType="begin"/>
        </w:r>
        <w:r>
          <w:instrText xml:space="preserve">PAGE   \* MERGEFORMAT</w:instrText>
        </w:r>
        <w:r>
          <w:fldChar w:fldCharType="separate"/>
        </w:r>
        <w:r>
          <w:rPr>
            <w:lang w:val="zh-CN"/>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2D6F57"/>
    <w:multiLevelType w:val="singleLevel"/>
    <w:tmpl w:val="A82D6F57"/>
    <w:lvl w:ilvl="0" w:tentative="0">
      <w:start w:val="15"/>
      <w:numFmt w:val="decimal"/>
      <w:suff w:val="nothing"/>
      <w:lvlText w:val="（%1）"/>
      <w:lvlJc w:val="left"/>
    </w:lvl>
  </w:abstractNum>
  <w:abstractNum w:abstractNumId="1">
    <w:nsid w:val="FF2D3541"/>
    <w:multiLevelType w:val="singleLevel"/>
    <w:tmpl w:val="FF2D3541"/>
    <w:lvl w:ilvl="0" w:tentative="0">
      <w:start w:val="12"/>
      <w:numFmt w:val="decimal"/>
      <w:suff w:val="nothing"/>
      <w:lvlText w:val="（%1）"/>
      <w:lvlJc w:val="left"/>
    </w:lvl>
  </w:abstractNum>
  <w:abstractNum w:abstractNumId="2">
    <w:nsid w:val="09936FCA"/>
    <w:multiLevelType w:val="multilevel"/>
    <w:tmpl w:val="09936FCA"/>
    <w:lvl w:ilvl="0" w:tentative="0">
      <w:start w:val="1"/>
      <w:numFmt w:val="chineseCountingThousand"/>
      <w:pStyle w:val="3"/>
      <w:lvlText w:val="%1、"/>
      <w:lvlJc w:val="left"/>
      <w:pPr>
        <w:ind w:left="0" w:firstLine="0"/>
      </w:pPr>
      <w:rPr>
        <w:rFonts w:hint="default"/>
      </w:rPr>
    </w:lvl>
    <w:lvl w:ilvl="1" w:tentative="0">
      <w:start w:val="1"/>
      <w:numFmt w:val="lowerLetter"/>
      <w:lvlText w:val="%2)"/>
      <w:lvlJc w:val="left"/>
      <w:pPr>
        <w:ind w:left="420" w:firstLine="0"/>
      </w:pPr>
      <w:rPr>
        <w:rFonts w:hint="eastAsia"/>
      </w:rPr>
    </w:lvl>
    <w:lvl w:ilvl="2" w:tentative="0">
      <w:start w:val="1"/>
      <w:numFmt w:val="lowerRoman"/>
      <w:lvlText w:val="%3."/>
      <w:lvlJc w:val="right"/>
      <w:pPr>
        <w:ind w:left="840" w:firstLine="0"/>
      </w:pPr>
      <w:rPr>
        <w:rFonts w:hint="eastAsia"/>
      </w:rPr>
    </w:lvl>
    <w:lvl w:ilvl="3" w:tentative="0">
      <w:start w:val="1"/>
      <w:numFmt w:val="decimal"/>
      <w:lvlText w:val="%4."/>
      <w:lvlJc w:val="left"/>
      <w:pPr>
        <w:ind w:left="1260" w:firstLine="0"/>
      </w:pPr>
      <w:rPr>
        <w:rFonts w:hint="eastAsia"/>
      </w:rPr>
    </w:lvl>
    <w:lvl w:ilvl="4" w:tentative="0">
      <w:start w:val="1"/>
      <w:numFmt w:val="lowerLetter"/>
      <w:lvlText w:val="%5)"/>
      <w:lvlJc w:val="left"/>
      <w:pPr>
        <w:ind w:left="1680" w:firstLine="0"/>
      </w:pPr>
      <w:rPr>
        <w:rFonts w:hint="eastAsia"/>
      </w:rPr>
    </w:lvl>
    <w:lvl w:ilvl="5" w:tentative="0">
      <w:start w:val="1"/>
      <w:numFmt w:val="lowerRoman"/>
      <w:lvlText w:val="%6."/>
      <w:lvlJc w:val="right"/>
      <w:pPr>
        <w:ind w:left="2100" w:firstLine="0"/>
      </w:pPr>
      <w:rPr>
        <w:rFonts w:hint="eastAsia"/>
      </w:rPr>
    </w:lvl>
    <w:lvl w:ilvl="6" w:tentative="0">
      <w:start w:val="1"/>
      <w:numFmt w:val="decimal"/>
      <w:lvlText w:val="%7."/>
      <w:lvlJc w:val="left"/>
      <w:pPr>
        <w:ind w:left="2520" w:firstLine="0"/>
      </w:pPr>
      <w:rPr>
        <w:rFonts w:hint="eastAsia"/>
      </w:rPr>
    </w:lvl>
    <w:lvl w:ilvl="7" w:tentative="0">
      <w:start w:val="1"/>
      <w:numFmt w:val="lowerLetter"/>
      <w:lvlText w:val="%8)"/>
      <w:lvlJc w:val="left"/>
      <w:pPr>
        <w:ind w:left="2940" w:firstLine="0"/>
      </w:pPr>
      <w:rPr>
        <w:rFonts w:hint="eastAsia"/>
      </w:rPr>
    </w:lvl>
    <w:lvl w:ilvl="8" w:tentative="0">
      <w:start w:val="1"/>
      <w:numFmt w:val="lowerRoman"/>
      <w:lvlText w:val="%9."/>
      <w:lvlJc w:val="right"/>
      <w:pPr>
        <w:ind w:left="3360" w:firstLine="0"/>
      </w:pPr>
      <w:rPr>
        <w:rFonts w:hint="eastAsia"/>
      </w:rPr>
    </w:lvl>
  </w:abstractNum>
  <w:abstractNum w:abstractNumId="3">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59"/>
      <w:suff w:val="nothing"/>
      <w:lvlText w:val="%1%2.%3.%4　"/>
      <w:lvlJc w:val="left"/>
      <w:pPr>
        <w:ind w:left="1418"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2"/>
    <w:lvlOverride w:ilvl="0">
      <w:lvl w:ilvl="0" w:tentative="1">
        <w:start w:val="1"/>
        <w:numFmt w:val="chineseCountingThousand"/>
        <w:lvlText w:val="%1、"/>
        <w:lvlJc w:val="left"/>
        <w:pPr>
          <w:ind w:left="0" w:firstLine="0"/>
        </w:pPr>
        <w:rPr>
          <w:rFonts w:hint="default"/>
        </w:rPr>
      </w:lvl>
    </w:lvlOverride>
    <w:lvlOverride w:ilvl="1">
      <w:lvl w:ilvl="1" w:tentative="1">
        <w:start w:val="1"/>
        <w:numFmt w:val="decimal"/>
        <w:pStyle w:val="4"/>
        <w:lvlText w:val="%2."/>
        <w:lvlJc w:val="left"/>
        <w:pPr>
          <w:ind w:left="0" w:firstLine="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3">
    <w:abstractNumId w:val="2"/>
    <w:lvlOverride w:ilvl="0">
      <w:lvl w:ilvl="0" w:tentative="1">
        <w:start w:val="1"/>
        <w:numFmt w:val="chineseCountingThousand"/>
        <w:lvlText w:val="%1、"/>
        <w:lvlJc w:val="left"/>
        <w:pPr>
          <w:ind w:left="0" w:firstLine="0"/>
        </w:pPr>
        <w:rPr>
          <w:rFonts w:hint="default"/>
        </w:rPr>
      </w:lvl>
    </w:lvlOverride>
    <w:lvlOverride w:ilvl="1">
      <w:lvl w:ilvl="1" w:tentative="1">
        <w:start w:val="1"/>
        <w:numFmt w:val="decimal"/>
        <w:lvlText w:val="%2."/>
        <w:lvlJc w:val="left"/>
        <w:pPr>
          <w:ind w:left="0" w:firstLine="0"/>
        </w:pPr>
        <w:rPr>
          <w:rFonts w:hint="eastAsia"/>
        </w:rPr>
      </w:lvl>
    </w:lvlOverride>
    <w:lvlOverride w:ilvl="2">
      <w:lvl w:ilvl="2" w:tentative="1">
        <w:start w:val="1"/>
        <w:numFmt w:val="decimal"/>
        <w:pStyle w:val="5"/>
        <w:lvlText w:val="(%3)"/>
        <w:lvlJc w:val="left"/>
        <w:pPr>
          <w:ind w:left="0" w:firstLine="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4">
    <w:abstractNumId w:val="2"/>
    <w:lvlOverride w:ilvl="0">
      <w:lvl w:ilvl="0" w:tentative="1">
        <w:start w:val="1"/>
        <w:numFmt w:val="chineseCountingThousand"/>
        <w:lvlText w:val="%1、"/>
        <w:lvlJc w:val="left"/>
        <w:pPr>
          <w:ind w:left="0" w:firstLine="0"/>
        </w:pPr>
        <w:rPr>
          <w:rFonts w:hint="default"/>
        </w:rPr>
      </w:lvl>
    </w:lvlOverride>
    <w:lvlOverride w:ilvl="1">
      <w:lvl w:ilvl="1" w:tentative="1">
        <w:start w:val="1"/>
        <w:numFmt w:val="decimal"/>
        <w:lvlText w:val="%2."/>
        <w:lvlJc w:val="left"/>
        <w:pPr>
          <w:ind w:left="0" w:firstLine="0"/>
        </w:pPr>
        <w:rPr>
          <w:rFonts w:hint="eastAsia"/>
        </w:rPr>
      </w:lvl>
    </w:lvlOverride>
    <w:lvlOverride w:ilvl="2">
      <w:lvl w:ilvl="2" w:tentative="1">
        <w:start w:val="1"/>
        <w:numFmt w:val="decimal"/>
        <w:lvlText w:val="(%3)"/>
        <w:lvlJc w:val="left"/>
        <w:pPr>
          <w:ind w:left="0" w:firstLine="0"/>
        </w:pPr>
        <w:rPr>
          <w:rFonts w:hint="eastAsia"/>
        </w:rPr>
      </w:lvl>
    </w:lvlOverride>
    <w:lvlOverride w:ilvl="3">
      <w:lvl w:ilvl="3" w:tentative="1">
        <w:start w:val="1"/>
        <w:numFmt w:val="lowerLetter"/>
        <w:pStyle w:val="6"/>
        <w:lvlText w:val="(%4)"/>
        <w:lvlJc w:val="left"/>
        <w:pPr>
          <w:ind w:left="0" w:firstLine="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63"/>
  <w:displayHorizontalDrawingGridEvery w:val="1"/>
  <w:displayVerticalDrawingGridEvery w:val="1"/>
  <w:noPunctuationKerning w:val="1"/>
  <w:characterSpacingControl w:val="compressPunctuation"/>
  <w:footnotePr>
    <w:footnote w:id="0"/>
    <w:footnote w:id="1"/>
  </w:footnotePr>
  <w:endnotePr>
    <w:numFmt w:val="decimal"/>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3ZDcyOTVjOTgwMzNhOTA2ZGE5ODdhYjg1MjRkNmIifQ=="/>
    <w:docVar w:name="NE.Ref{0ECE1AC0-7431-4BAC-892A-29E123F08F65}" w:val=" ADDIN NE.Ref.{0ECE1AC0-7431-4BAC-892A-29E123F08F65}&lt;Citation&gt;&lt;Group&gt;&lt;References&gt;&lt;Item&gt;&lt;ID&gt;1594&lt;/ID&gt;&lt;UID&gt;{79FBB31D-752A-4A39-B350-36C68BC13AB1}&lt;/UID&gt;&lt;Title&gt;小麦叶片叶绿素含量测定及其与SPAD值的关系&lt;/Title&gt;&lt;Template&gt;Journal Article&lt;/Template&gt;&lt;Star&gt;0&lt;/Star&gt;&lt;Tag&gt;5&lt;/Tag&gt;&lt;Author&gt;薛香; 吴玉娥&lt;/Author&gt;&lt;Year&gt;2010&lt;/Year&gt;&lt;Details&gt;&lt;_issue&gt;11&lt;/_issue&gt;&lt;_journal&gt;湖北农业科学&lt;/_journal&gt;&lt;_pages&gt;2701-2702&lt;/_pages&gt;&lt;_volume&gt;49&lt;/_volume&gt;&lt;_created&gt;62808958&lt;/_created&gt;&lt;_modified&gt;62808958&lt;/_modified&gt;&lt;_accessed&gt;62808958&lt;/_accessed&gt;&lt;_translated_author&gt;Xue, Xiang;Wu, Yu&amp;apos;e&lt;/_translated_author&gt;&lt;/Details&gt;&lt;Extra&gt;&lt;DBUID&gt;{F96A950B-833F-4880-A151-76DA2D6A2879}&lt;/DBUID&gt;&lt;/Extra&gt;&lt;/Item&gt;&lt;/References&gt;&lt;/Group&gt;&lt;/Citation&gt;_x000a_"/>
    <w:docVar w:name="NE.Ref{3304EFE0-A0CF-4490-ACB4-6E4A2E4F5452}" w:val=" ADDIN NE.Ref.{3304EFE0-A0CF-4490-ACB4-6E4A2E4F5452}&lt;Citation&gt;&lt;Group&gt;&lt;References&gt;&lt;Item&gt;&lt;ID&gt;1593&lt;/ID&gt;&lt;UID&gt;{E5223426-3473-4F8A-B184-2E7C0758369C}&lt;/UID&gt;&lt;Title&gt;基于低空无人机遥感的冬小麦覆盖度变化监测&lt;/Title&gt;&lt;Template&gt;Journal Article&lt;/Template&gt;&lt;Star&gt;0&lt;/Star&gt;&lt;Tag&gt;0&lt;/Tag&gt;&lt;Author&gt;李冰; 刘镕源; 刘素红; 刘强; 刘峰; 周公器&lt;/Author&gt;&lt;Year&gt;2012&lt;/Year&gt;&lt;Details&gt;&lt;_issue&gt;13&lt;/_issue&gt;&lt;_journal&gt;农业工程学报&lt;/_journal&gt;&lt;_pages&gt;160-165&lt;/_pages&gt;&lt;_volume&gt;28&lt;/_volume&gt;&lt;_created&gt;62808955&lt;/_created&gt;&lt;_modified&gt;62808955&lt;/_modified&gt;&lt;_collection_scope&gt;CSCD;PKU;EI&lt;/_collection_scope&gt;&lt;_translated_author&gt;Li, Bing;Liu, Rongyuan;Liu, Suhong;Liu, Qiang;Liu, Feng;Zhou, Gongqi&lt;/_translated_author&gt;&lt;/Details&gt;&lt;Extra&gt;&lt;DBUID&gt;{F96A950B-833F-4880-A151-76DA2D6A2879}&lt;/DBUID&gt;&lt;/Extra&gt;&lt;/Item&gt;&lt;/References&gt;&lt;/Group&gt;&lt;/Citation&gt;_x000a_"/>
    <w:docVar w:name="NE.Ref{9743322C-77E3-4670-BCAF-EB6799A34B21}" w:val=" ADDIN NE.Ref.{9743322C-77E3-4670-BCAF-EB6799A34B21}&lt;Citation&gt;&lt;Group&gt;&lt;References&gt;&lt;Item&gt;&lt;ID&gt;1595&lt;/ID&gt;&lt;UID&gt;{EB0BB501-B5A8-4F2B-8EF1-7EC50BFB360C}&lt;/UID&gt;&lt;Title&gt;马铃薯叶片SPAD值与叶绿素含量及产量的相关性研究&lt;/Title&gt;&lt;Template&gt;Journal Article&lt;/Template&gt;&lt;Star&gt;0&lt;/Star&gt;&lt;Tag&gt;0&lt;/Tag&gt;&lt;Author&gt;苏云松; 郭华春; 陈伊里&lt;/Author&gt;&lt;Year&gt;2007&lt;/Year&gt;&lt;Details&gt;&lt;_issue&gt;4&lt;/_issue&gt;&lt;_journal&gt;西南农业学报&lt;/_journal&gt;&lt;_pages&gt;690-693&lt;/_pages&gt;&lt;_volume&gt;20&lt;/_volume&gt;&lt;_created&gt;62808961&lt;/_created&gt;&lt;_modified&gt;62808961&lt;/_modified&gt;&lt;_collection_scope&gt;CSCD;PKU&lt;/_collection_scope&gt;&lt;_translated_author&gt;Su, Yunsong;Guo, Huachun;Chen, Yili&lt;/_translated_author&gt;&lt;/Details&gt;&lt;Extra&gt;&lt;DBUID&gt;{F96A950B-833F-4880-A151-76DA2D6A2879}&lt;/DBUID&gt;&lt;/Extra&gt;&lt;/Item&gt;&lt;/References&gt;&lt;/Group&gt;&lt;/Citation&gt;_x000a_"/>
    <w:docVar w:name="NE.Ref{A7983FA1-7BDB-44AB-B6E4-44E867368C04}" w:val=" ADDIN NE.Ref.{A7983FA1-7BDB-44AB-B6E4-44E867368C04}&lt;Citation&gt;&lt;Group&gt;&lt;References&gt;&lt;Item&gt;&lt;ID&gt;848&lt;/ID&gt;&lt;UID&gt;{4CE45D92-05E6-49C3-B5B2-22963E02A9D6}&lt;/UID&gt;&lt;Title&gt;Monitoring Vegetation Systems in the Great Plains with Erts&lt;/Title&gt;&lt;Template&gt;Journal Article&lt;/Template&gt;&lt;Star&gt;0&lt;/Star&gt;&lt;Tag&gt;0&lt;/Tag&gt;&lt;Author&gt;Rouse, J W Jr; Haas, R H; Schell, J A; Deering, D W&lt;/Author&gt;&lt;Year&gt;1974&lt;/Year&gt;&lt;Details&gt;&lt;_accessed&gt;62466397&lt;/_accessed&gt;&lt;_created&gt;62143828&lt;/_created&gt;&lt;_journal&gt;Nasa Special Publication&lt;/_journal&gt;&lt;_modified&gt;62144219&lt;/_modified&gt;&lt;_pages&gt;309&lt;/_pages&gt;&lt;_volume&gt;351&lt;/_volume&gt;&lt;/Details&gt;&lt;Extra&gt;&lt;DBUID&gt;{F96A950B-833F-4880-A151-76DA2D6A2879}&lt;/DBUID&gt;&lt;/Extra&gt;&lt;/Item&gt;&lt;/References&gt;&lt;/Group&gt;&lt;/Citation&gt;_x000a_"/>
    <w:docVar w:name="ne_docsoft" w:val="MSWord"/>
    <w:docVar w:name="ne_docversion" w:val="NoteExpress 2.0"/>
    <w:docVar w:name="ne_stylename" w:val="农业工程学报"/>
  </w:docVars>
  <w:rsids>
    <w:rsidRoot w:val="00B85CC9"/>
    <w:rsid w:val="000000D1"/>
    <w:rsid w:val="00000968"/>
    <w:rsid w:val="000017D2"/>
    <w:rsid w:val="000033A9"/>
    <w:rsid w:val="000052FE"/>
    <w:rsid w:val="00006191"/>
    <w:rsid w:val="00010792"/>
    <w:rsid w:val="00013DFB"/>
    <w:rsid w:val="00014195"/>
    <w:rsid w:val="00014B1D"/>
    <w:rsid w:val="00021048"/>
    <w:rsid w:val="000235B7"/>
    <w:rsid w:val="00023E0C"/>
    <w:rsid w:val="00030975"/>
    <w:rsid w:val="00030F65"/>
    <w:rsid w:val="00033565"/>
    <w:rsid w:val="00036813"/>
    <w:rsid w:val="000378B0"/>
    <w:rsid w:val="00043E1A"/>
    <w:rsid w:val="000443E6"/>
    <w:rsid w:val="00046B67"/>
    <w:rsid w:val="00053E37"/>
    <w:rsid w:val="00057E6B"/>
    <w:rsid w:val="0006084D"/>
    <w:rsid w:val="00060AD4"/>
    <w:rsid w:val="000644BC"/>
    <w:rsid w:val="00067A02"/>
    <w:rsid w:val="00070A29"/>
    <w:rsid w:val="00083956"/>
    <w:rsid w:val="00091E9B"/>
    <w:rsid w:val="00091F84"/>
    <w:rsid w:val="00097CBD"/>
    <w:rsid w:val="000A33AB"/>
    <w:rsid w:val="000A3B32"/>
    <w:rsid w:val="000A3EAD"/>
    <w:rsid w:val="000A573F"/>
    <w:rsid w:val="000A58EF"/>
    <w:rsid w:val="000A63BB"/>
    <w:rsid w:val="000A7AB6"/>
    <w:rsid w:val="000A7CBC"/>
    <w:rsid w:val="000B186A"/>
    <w:rsid w:val="000B28FE"/>
    <w:rsid w:val="000B7176"/>
    <w:rsid w:val="000C0227"/>
    <w:rsid w:val="000C0286"/>
    <w:rsid w:val="000C5760"/>
    <w:rsid w:val="000C7777"/>
    <w:rsid w:val="000D079D"/>
    <w:rsid w:val="000D2840"/>
    <w:rsid w:val="000D30C3"/>
    <w:rsid w:val="000D413B"/>
    <w:rsid w:val="000D4FC3"/>
    <w:rsid w:val="000D5CD7"/>
    <w:rsid w:val="000E0C7D"/>
    <w:rsid w:val="000E3E69"/>
    <w:rsid w:val="000E7906"/>
    <w:rsid w:val="000F3113"/>
    <w:rsid w:val="000F3C58"/>
    <w:rsid w:val="000F797D"/>
    <w:rsid w:val="00100A90"/>
    <w:rsid w:val="001026D5"/>
    <w:rsid w:val="00103A12"/>
    <w:rsid w:val="001068D1"/>
    <w:rsid w:val="001071B5"/>
    <w:rsid w:val="00107A65"/>
    <w:rsid w:val="00107DCF"/>
    <w:rsid w:val="00111E3A"/>
    <w:rsid w:val="00112573"/>
    <w:rsid w:val="00116014"/>
    <w:rsid w:val="00117E75"/>
    <w:rsid w:val="00122C15"/>
    <w:rsid w:val="00123B09"/>
    <w:rsid w:val="00124CCA"/>
    <w:rsid w:val="001262CD"/>
    <w:rsid w:val="00130925"/>
    <w:rsid w:val="00130D69"/>
    <w:rsid w:val="00131FC5"/>
    <w:rsid w:val="00132B11"/>
    <w:rsid w:val="00132C22"/>
    <w:rsid w:val="00132E78"/>
    <w:rsid w:val="00136051"/>
    <w:rsid w:val="00136320"/>
    <w:rsid w:val="0013792C"/>
    <w:rsid w:val="00137A44"/>
    <w:rsid w:val="00137A58"/>
    <w:rsid w:val="00144BCA"/>
    <w:rsid w:val="00145CE8"/>
    <w:rsid w:val="00151039"/>
    <w:rsid w:val="00153347"/>
    <w:rsid w:val="00153D96"/>
    <w:rsid w:val="00155B95"/>
    <w:rsid w:val="00164E7B"/>
    <w:rsid w:val="00165B44"/>
    <w:rsid w:val="00171492"/>
    <w:rsid w:val="00173C02"/>
    <w:rsid w:val="00176364"/>
    <w:rsid w:val="00177624"/>
    <w:rsid w:val="001777B0"/>
    <w:rsid w:val="00177B6E"/>
    <w:rsid w:val="00177C56"/>
    <w:rsid w:val="0018117A"/>
    <w:rsid w:val="00181AB0"/>
    <w:rsid w:val="00182C30"/>
    <w:rsid w:val="0018402D"/>
    <w:rsid w:val="001862E0"/>
    <w:rsid w:val="00187070"/>
    <w:rsid w:val="00187998"/>
    <w:rsid w:val="00190128"/>
    <w:rsid w:val="00190315"/>
    <w:rsid w:val="0019169B"/>
    <w:rsid w:val="00193AD7"/>
    <w:rsid w:val="00194F85"/>
    <w:rsid w:val="001A082A"/>
    <w:rsid w:val="001A092F"/>
    <w:rsid w:val="001A365D"/>
    <w:rsid w:val="001A3697"/>
    <w:rsid w:val="001A4B56"/>
    <w:rsid w:val="001A54F3"/>
    <w:rsid w:val="001A60CC"/>
    <w:rsid w:val="001A6772"/>
    <w:rsid w:val="001B26FE"/>
    <w:rsid w:val="001B38AF"/>
    <w:rsid w:val="001B3D05"/>
    <w:rsid w:val="001B49F6"/>
    <w:rsid w:val="001B60CF"/>
    <w:rsid w:val="001B6683"/>
    <w:rsid w:val="001B7C38"/>
    <w:rsid w:val="001C05FC"/>
    <w:rsid w:val="001C1F8C"/>
    <w:rsid w:val="001C423C"/>
    <w:rsid w:val="001C5180"/>
    <w:rsid w:val="001D2A20"/>
    <w:rsid w:val="001D3CBE"/>
    <w:rsid w:val="001E10DF"/>
    <w:rsid w:val="001E1A9F"/>
    <w:rsid w:val="001E5C50"/>
    <w:rsid w:val="001E7C26"/>
    <w:rsid w:val="001F3026"/>
    <w:rsid w:val="001F4495"/>
    <w:rsid w:val="001F518B"/>
    <w:rsid w:val="001F549A"/>
    <w:rsid w:val="001F58F6"/>
    <w:rsid w:val="00200BA8"/>
    <w:rsid w:val="002011C4"/>
    <w:rsid w:val="002027AD"/>
    <w:rsid w:val="002043DB"/>
    <w:rsid w:val="0020526A"/>
    <w:rsid w:val="00206068"/>
    <w:rsid w:val="00206742"/>
    <w:rsid w:val="00211A1B"/>
    <w:rsid w:val="00213368"/>
    <w:rsid w:val="00217B1C"/>
    <w:rsid w:val="00220447"/>
    <w:rsid w:val="00221576"/>
    <w:rsid w:val="002249E4"/>
    <w:rsid w:val="00225C06"/>
    <w:rsid w:val="002263A4"/>
    <w:rsid w:val="0022679A"/>
    <w:rsid w:val="00227F35"/>
    <w:rsid w:val="0023229C"/>
    <w:rsid w:val="0023283B"/>
    <w:rsid w:val="002330E9"/>
    <w:rsid w:val="0023334C"/>
    <w:rsid w:val="002343E3"/>
    <w:rsid w:val="00234F86"/>
    <w:rsid w:val="00236471"/>
    <w:rsid w:val="00236BFF"/>
    <w:rsid w:val="0024399D"/>
    <w:rsid w:val="00243EEB"/>
    <w:rsid w:val="00243F9E"/>
    <w:rsid w:val="00244EEF"/>
    <w:rsid w:val="00247915"/>
    <w:rsid w:val="00247B8F"/>
    <w:rsid w:val="00250AA0"/>
    <w:rsid w:val="0025156D"/>
    <w:rsid w:val="00251F65"/>
    <w:rsid w:val="002567F3"/>
    <w:rsid w:val="002624EF"/>
    <w:rsid w:val="002661BD"/>
    <w:rsid w:val="002708F5"/>
    <w:rsid w:val="00273D2E"/>
    <w:rsid w:val="00276476"/>
    <w:rsid w:val="0027658E"/>
    <w:rsid w:val="002765D0"/>
    <w:rsid w:val="002813AD"/>
    <w:rsid w:val="00282118"/>
    <w:rsid w:val="002823BF"/>
    <w:rsid w:val="00282D06"/>
    <w:rsid w:val="00282E4F"/>
    <w:rsid w:val="00283970"/>
    <w:rsid w:val="00283974"/>
    <w:rsid w:val="00285AAE"/>
    <w:rsid w:val="00286B3B"/>
    <w:rsid w:val="00290036"/>
    <w:rsid w:val="002923C2"/>
    <w:rsid w:val="00292B03"/>
    <w:rsid w:val="00293260"/>
    <w:rsid w:val="002945C8"/>
    <w:rsid w:val="002A016C"/>
    <w:rsid w:val="002A4A9D"/>
    <w:rsid w:val="002A51E3"/>
    <w:rsid w:val="002A6376"/>
    <w:rsid w:val="002A724C"/>
    <w:rsid w:val="002A79D6"/>
    <w:rsid w:val="002B0249"/>
    <w:rsid w:val="002B0D18"/>
    <w:rsid w:val="002B14F1"/>
    <w:rsid w:val="002B59DA"/>
    <w:rsid w:val="002B786E"/>
    <w:rsid w:val="002C0CCE"/>
    <w:rsid w:val="002C2D3B"/>
    <w:rsid w:val="002C3A99"/>
    <w:rsid w:val="002C52AA"/>
    <w:rsid w:val="002D0009"/>
    <w:rsid w:val="002D1582"/>
    <w:rsid w:val="002D3511"/>
    <w:rsid w:val="002D44CF"/>
    <w:rsid w:val="002D688C"/>
    <w:rsid w:val="002E13FB"/>
    <w:rsid w:val="002E397F"/>
    <w:rsid w:val="002E4E79"/>
    <w:rsid w:val="002E5869"/>
    <w:rsid w:val="002F0235"/>
    <w:rsid w:val="002F068E"/>
    <w:rsid w:val="002F1B7D"/>
    <w:rsid w:val="002F1BD5"/>
    <w:rsid w:val="002F1EB5"/>
    <w:rsid w:val="002F25E4"/>
    <w:rsid w:val="002F2FA5"/>
    <w:rsid w:val="002F4650"/>
    <w:rsid w:val="002F7764"/>
    <w:rsid w:val="00300AC6"/>
    <w:rsid w:val="003065E0"/>
    <w:rsid w:val="00306B5F"/>
    <w:rsid w:val="00306F21"/>
    <w:rsid w:val="00310EF8"/>
    <w:rsid w:val="00315A8B"/>
    <w:rsid w:val="00322B9A"/>
    <w:rsid w:val="0032436C"/>
    <w:rsid w:val="003255DD"/>
    <w:rsid w:val="003258AE"/>
    <w:rsid w:val="0032726D"/>
    <w:rsid w:val="00330323"/>
    <w:rsid w:val="003307F8"/>
    <w:rsid w:val="0033337B"/>
    <w:rsid w:val="00333851"/>
    <w:rsid w:val="00334483"/>
    <w:rsid w:val="0033536C"/>
    <w:rsid w:val="00335931"/>
    <w:rsid w:val="00335B41"/>
    <w:rsid w:val="00336722"/>
    <w:rsid w:val="00337658"/>
    <w:rsid w:val="00342D4C"/>
    <w:rsid w:val="00345695"/>
    <w:rsid w:val="00350D1F"/>
    <w:rsid w:val="0035143D"/>
    <w:rsid w:val="00352AE8"/>
    <w:rsid w:val="00353E6C"/>
    <w:rsid w:val="00354409"/>
    <w:rsid w:val="00355ADD"/>
    <w:rsid w:val="00360388"/>
    <w:rsid w:val="00360A46"/>
    <w:rsid w:val="003622E0"/>
    <w:rsid w:val="00363434"/>
    <w:rsid w:val="003650E8"/>
    <w:rsid w:val="0036597F"/>
    <w:rsid w:val="00365B54"/>
    <w:rsid w:val="00366F21"/>
    <w:rsid w:val="0037021F"/>
    <w:rsid w:val="003709AE"/>
    <w:rsid w:val="0037107F"/>
    <w:rsid w:val="00372231"/>
    <w:rsid w:val="0037461B"/>
    <w:rsid w:val="00377CEB"/>
    <w:rsid w:val="00377EB7"/>
    <w:rsid w:val="00380DCD"/>
    <w:rsid w:val="00381401"/>
    <w:rsid w:val="00382B34"/>
    <w:rsid w:val="00386A36"/>
    <w:rsid w:val="003966D8"/>
    <w:rsid w:val="00396C7D"/>
    <w:rsid w:val="00397083"/>
    <w:rsid w:val="003972C6"/>
    <w:rsid w:val="00397831"/>
    <w:rsid w:val="003A0758"/>
    <w:rsid w:val="003A09B3"/>
    <w:rsid w:val="003A0C52"/>
    <w:rsid w:val="003A456C"/>
    <w:rsid w:val="003A5670"/>
    <w:rsid w:val="003A597B"/>
    <w:rsid w:val="003A59D0"/>
    <w:rsid w:val="003A79B4"/>
    <w:rsid w:val="003A7BBD"/>
    <w:rsid w:val="003A7FF1"/>
    <w:rsid w:val="003B1B1A"/>
    <w:rsid w:val="003B3377"/>
    <w:rsid w:val="003B5044"/>
    <w:rsid w:val="003B5A42"/>
    <w:rsid w:val="003C281A"/>
    <w:rsid w:val="003C468A"/>
    <w:rsid w:val="003C4EB5"/>
    <w:rsid w:val="003C69DF"/>
    <w:rsid w:val="003D0400"/>
    <w:rsid w:val="003D05E1"/>
    <w:rsid w:val="003D1C3D"/>
    <w:rsid w:val="003D2694"/>
    <w:rsid w:val="003D51E9"/>
    <w:rsid w:val="003D56A1"/>
    <w:rsid w:val="003D5764"/>
    <w:rsid w:val="003D76FE"/>
    <w:rsid w:val="003D779C"/>
    <w:rsid w:val="003E3351"/>
    <w:rsid w:val="003E38C4"/>
    <w:rsid w:val="003E3C02"/>
    <w:rsid w:val="003F59B6"/>
    <w:rsid w:val="003F63DB"/>
    <w:rsid w:val="003F7D66"/>
    <w:rsid w:val="00400A80"/>
    <w:rsid w:val="00401017"/>
    <w:rsid w:val="00403358"/>
    <w:rsid w:val="00403887"/>
    <w:rsid w:val="004044ED"/>
    <w:rsid w:val="00404B2A"/>
    <w:rsid w:val="0040526E"/>
    <w:rsid w:val="0040632D"/>
    <w:rsid w:val="00406FCF"/>
    <w:rsid w:val="0041211E"/>
    <w:rsid w:val="004121D3"/>
    <w:rsid w:val="004153AF"/>
    <w:rsid w:val="0041545D"/>
    <w:rsid w:val="00415A90"/>
    <w:rsid w:val="004164F8"/>
    <w:rsid w:val="004200BB"/>
    <w:rsid w:val="004226E9"/>
    <w:rsid w:val="00422F67"/>
    <w:rsid w:val="0042431B"/>
    <w:rsid w:val="0042440F"/>
    <w:rsid w:val="00424DB0"/>
    <w:rsid w:val="00425A03"/>
    <w:rsid w:val="0042609A"/>
    <w:rsid w:val="00427D06"/>
    <w:rsid w:val="00430142"/>
    <w:rsid w:val="00430F9F"/>
    <w:rsid w:val="0043101A"/>
    <w:rsid w:val="004311D7"/>
    <w:rsid w:val="00431B30"/>
    <w:rsid w:val="00432361"/>
    <w:rsid w:val="00435536"/>
    <w:rsid w:val="0043559C"/>
    <w:rsid w:val="004376AF"/>
    <w:rsid w:val="00441BD7"/>
    <w:rsid w:val="004426CC"/>
    <w:rsid w:val="004445C8"/>
    <w:rsid w:val="00444DFB"/>
    <w:rsid w:val="00450086"/>
    <w:rsid w:val="004502AB"/>
    <w:rsid w:val="00452A2C"/>
    <w:rsid w:val="004543FF"/>
    <w:rsid w:val="00454DD6"/>
    <w:rsid w:val="0045676C"/>
    <w:rsid w:val="00462B0A"/>
    <w:rsid w:val="00462FF1"/>
    <w:rsid w:val="004644E7"/>
    <w:rsid w:val="00467353"/>
    <w:rsid w:val="00467BE9"/>
    <w:rsid w:val="00470BA8"/>
    <w:rsid w:val="00471690"/>
    <w:rsid w:val="004734B4"/>
    <w:rsid w:val="00474293"/>
    <w:rsid w:val="00474B8E"/>
    <w:rsid w:val="004800A8"/>
    <w:rsid w:val="004815EE"/>
    <w:rsid w:val="00483091"/>
    <w:rsid w:val="00483193"/>
    <w:rsid w:val="0048543C"/>
    <w:rsid w:val="00487E14"/>
    <w:rsid w:val="00490285"/>
    <w:rsid w:val="00491B0B"/>
    <w:rsid w:val="00493068"/>
    <w:rsid w:val="00493235"/>
    <w:rsid w:val="00493942"/>
    <w:rsid w:val="00496947"/>
    <w:rsid w:val="004969A2"/>
    <w:rsid w:val="004A30AB"/>
    <w:rsid w:val="004A38A8"/>
    <w:rsid w:val="004A4075"/>
    <w:rsid w:val="004A657E"/>
    <w:rsid w:val="004A74E8"/>
    <w:rsid w:val="004B2E5D"/>
    <w:rsid w:val="004B2EF4"/>
    <w:rsid w:val="004B6313"/>
    <w:rsid w:val="004B64D3"/>
    <w:rsid w:val="004B6F35"/>
    <w:rsid w:val="004B7C57"/>
    <w:rsid w:val="004C0609"/>
    <w:rsid w:val="004C132C"/>
    <w:rsid w:val="004C4363"/>
    <w:rsid w:val="004C5187"/>
    <w:rsid w:val="004C67FE"/>
    <w:rsid w:val="004C7F87"/>
    <w:rsid w:val="004D0C4F"/>
    <w:rsid w:val="004D101D"/>
    <w:rsid w:val="004D19A9"/>
    <w:rsid w:val="004D2923"/>
    <w:rsid w:val="004D7B41"/>
    <w:rsid w:val="004E1595"/>
    <w:rsid w:val="004E1FA9"/>
    <w:rsid w:val="004E448D"/>
    <w:rsid w:val="004E4855"/>
    <w:rsid w:val="004F0F6E"/>
    <w:rsid w:val="004F256C"/>
    <w:rsid w:val="004F308E"/>
    <w:rsid w:val="004F37E6"/>
    <w:rsid w:val="004F38C2"/>
    <w:rsid w:val="004F392A"/>
    <w:rsid w:val="004F3A7C"/>
    <w:rsid w:val="004F3CBA"/>
    <w:rsid w:val="004F4529"/>
    <w:rsid w:val="004F4F0F"/>
    <w:rsid w:val="004F6A31"/>
    <w:rsid w:val="00500A6C"/>
    <w:rsid w:val="005030CC"/>
    <w:rsid w:val="00505DB0"/>
    <w:rsid w:val="0051206C"/>
    <w:rsid w:val="005137B8"/>
    <w:rsid w:val="00514D2B"/>
    <w:rsid w:val="00520D07"/>
    <w:rsid w:val="005228B6"/>
    <w:rsid w:val="00523240"/>
    <w:rsid w:val="005240F3"/>
    <w:rsid w:val="00524453"/>
    <w:rsid w:val="00524FA0"/>
    <w:rsid w:val="0052616B"/>
    <w:rsid w:val="00530472"/>
    <w:rsid w:val="00532577"/>
    <w:rsid w:val="00536A14"/>
    <w:rsid w:val="00537310"/>
    <w:rsid w:val="0054100C"/>
    <w:rsid w:val="0054131C"/>
    <w:rsid w:val="005414B4"/>
    <w:rsid w:val="00542CB2"/>
    <w:rsid w:val="00544195"/>
    <w:rsid w:val="00544383"/>
    <w:rsid w:val="005452DD"/>
    <w:rsid w:val="00546822"/>
    <w:rsid w:val="00547C99"/>
    <w:rsid w:val="00550AE6"/>
    <w:rsid w:val="00550D14"/>
    <w:rsid w:val="00560A07"/>
    <w:rsid w:val="00560AD2"/>
    <w:rsid w:val="00562DDA"/>
    <w:rsid w:val="00562F58"/>
    <w:rsid w:val="00563C73"/>
    <w:rsid w:val="00563E1D"/>
    <w:rsid w:val="00566DA6"/>
    <w:rsid w:val="0056701C"/>
    <w:rsid w:val="00567344"/>
    <w:rsid w:val="005676A0"/>
    <w:rsid w:val="00570CBB"/>
    <w:rsid w:val="00572BFB"/>
    <w:rsid w:val="0057351B"/>
    <w:rsid w:val="005748B3"/>
    <w:rsid w:val="0057495E"/>
    <w:rsid w:val="00575162"/>
    <w:rsid w:val="005758EE"/>
    <w:rsid w:val="00582330"/>
    <w:rsid w:val="00583719"/>
    <w:rsid w:val="00583EDB"/>
    <w:rsid w:val="00585575"/>
    <w:rsid w:val="005875A6"/>
    <w:rsid w:val="00587F61"/>
    <w:rsid w:val="00590615"/>
    <w:rsid w:val="00590EC3"/>
    <w:rsid w:val="0059413C"/>
    <w:rsid w:val="00596D7C"/>
    <w:rsid w:val="005A14C9"/>
    <w:rsid w:val="005A1ABF"/>
    <w:rsid w:val="005A2A7A"/>
    <w:rsid w:val="005A4561"/>
    <w:rsid w:val="005A4881"/>
    <w:rsid w:val="005A57E8"/>
    <w:rsid w:val="005B012C"/>
    <w:rsid w:val="005B2185"/>
    <w:rsid w:val="005B3CF3"/>
    <w:rsid w:val="005B40DC"/>
    <w:rsid w:val="005B5054"/>
    <w:rsid w:val="005B6D0C"/>
    <w:rsid w:val="005B7611"/>
    <w:rsid w:val="005C069F"/>
    <w:rsid w:val="005C1086"/>
    <w:rsid w:val="005C1DC2"/>
    <w:rsid w:val="005D0315"/>
    <w:rsid w:val="005D1930"/>
    <w:rsid w:val="005D23E7"/>
    <w:rsid w:val="005D2652"/>
    <w:rsid w:val="005D2859"/>
    <w:rsid w:val="005D4DBE"/>
    <w:rsid w:val="005D5603"/>
    <w:rsid w:val="005D6944"/>
    <w:rsid w:val="005D6EDE"/>
    <w:rsid w:val="005D7142"/>
    <w:rsid w:val="005E09CB"/>
    <w:rsid w:val="005E1BA5"/>
    <w:rsid w:val="005E5CED"/>
    <w:rsid w:val="005F14F4"/>
    <w:rsid w:val="005F1537"/>
    <w:rsid w:val="005F3531"/>
    <w:rsid w:val="005F6B56"/>
    <w:rsid w:val="00600EBE"/>
    <w:rsid w:val="00603B5C"/>
    <w:rsid w:val="006040E1"/>
    <w:rsid w:val="00605550"/>
    <w:rsid w:val="006126A2"/>
    <w:rsid w:val="00613E1A"/>
    <w:rsid w:val="006203D7"/>
    <w:rsid w:val="00621C19"/>
    <w:rsid w:val="00621D84"/>
    <w:rsid w:val="00623778"/>
    <w:rsid w:val="0062601E"/>
    <w:rsid w:val="006275CB"/>
    <w:rsid w:val="00630A66"/>
    <w:rsid w:val="0063158A"/>
    <w:rsid w:val="00631AA0"/>
    <w:rsid w:val="00631C10"/>
    <w:rsid w:val="00632B84"/>
    <w:rsid w:val="00633CF7"/>
    <w:rsid w:val="00635F72"/>
    <w:rsid w:val="00637B15"/>
    <w:rsid w:val="006406EB"/>
    <w:rsid w:val="006436C4"/>
    <w:rsid w:val="00651194"/>
    <w:rsid w:val="00653DE8"/>
    <w:rsid w:val="006603BC"/>
    <w:rsid w:val="00662AEB"/>
    <w:rsid w:val="00664319"/>
    <w:rsid w:val="006708DF"/>
    <w:rsid w:val="00671AF9"/>
    <w:rsid w:val="006722E3"/>
    <w:rsid w:val="00672973"/>
    <w:rsid w:val="00673799"/>
    <w:rsid w:val="00681132"/>
    <w:rsid w:val="006819B8"/>
    <w:rsid w:val="00684233"/>
    <w:rsid w:val="00684D7C"/>
    <w:rsid w:val="00684EDC"/>
    <w:rsid w:val="0068580C"/>
    <w:rsid w:val="00685E75"/>
    <w:rsid w:val="00693123"/>
    <w:rsid w:val="006939ED"/>
    <w:rsid w:val="00695E5C"/>
    <w:rsid w:val="006965C2"/>
    <w:rsid w:val="00696D0E"/>
    <w:rsid w:val="00697208"/>
    <w:rsid w:val="006A0820"/>
    <w:rsid w:val="006A0A07"/>
    <w:rsid w:val="006A12C3"/>
    <w:rsid w:val="006A1FC9"/>
    <w:rsid w:val="006A25E6"/>
    <w:rsid w:val="006A268F"/>
    <w:rsid w:val="006A2A3B"/>
    <w:rsid w:val="006A2B92"/>
    <w:rsid w:val="006A3D80"/>
    <w:rsid w:val="006A410D"/>
    <w:rsid w:val="006B5165"/>
    <w:rsid w:val="006B6C08"/>
    <w:rsid w:val="006C3412"/>
    <w:rsid w:val="006C57F2"/>
    <w:rsid w:val="006C5DDA"/>
    <w:rsid w:val="006C6B65"/>
    <w:rsid w:val="006C7042"/>
    <w:rsid w:val="006D028D"/>
    <w:rsid w:val="006D0580"/>
    <w:rsid w:val="006D2A3B"/>
    <w:rsid w:val="006D2CDE"/>
    <w:rsid w:val="006D37CD"/>
    <w:rsid w:val="006D4C4F"/>
    <w:rsid w:val="006E3498"/>
    <w:rsid w:val="006E552A"/>
    <w:rsid w:val="006E58E5"/>
    <w:rsid w:val="006E6B8F"/>
    <w:rsid w:val="006E734E"/>
    <w:rsid w:val="006F7218"/>
    <w:rsid w:val="00700B23"/>
    <w:rsid w:val="007023F4"/>
    <w:rsid w:val="00703B39"/>
    <w:rsid w:val="00704937"/>
    <w:rsid w:val="007061C6"/>
    <w:rsid w:val="007064E0"/>
    <w:rsid w:val="007100E3"/>
    <w:rsid w:val="00710427"/>
    <w:rsid w:val="007125A4"/>
    <w:rsid w:val="00713ECD"/>
    <w:rsid w:val="00715B81"/>
    <w:rsid w:val="00715C6B"/>
    <w:rsid w:val="00720357"/>
    <w:rsid w:val="00720DC3"/>
    <w:rsid w:val="007215D3"/>
    <w:rsid w:val="0072498A"/>
    <w:rsid w:val="00724E56"/>
    <w:rsid w:val="00726AFA"/>
    <w:rsid w:val="00731CEA"/>
    <w:rsid w:val="007326DB"/>
    <w:rsid w:val="00734D10"/>
    <w:rsid w:val="0073529C"/>
    <w:rsid w:val="00735C96"/>
    <w:rsid w:val="0073632A"/>
    <w:rsid w:val="0074337E"/>
    <w:rsid w:val="007441F2"/>
    <w:rsid w:val="0074471E"/>
    <w:rsid w:val="00745887"/>
    <w:rsid w:val="00746457"/>
    <w:rsid w:val="00746FA8"/>
    <w:rsid w:val="00751888"/>
    <w:rsid w:val="00753DCF"/>
    <w:rsid w:val="007558D7"/>
    <w:rsid w:val="00755EB2"/>
    <w:rsid w:val="00757F97"/>
    <w:rsid w:val="007612A2"/>
    <w:rsid w:val="00762291"/>
    <w:rsid w:val="00766EB2"/>
    <w:rsid w:val="007724EA"/>
    <w:rsid w:val="00773A26"/>
    <w:rsid w:val="00776BBC"/>
    <w:rsid w:val="00776CF4"/>
    <w:rsid w:val="00777224"/>
    <w:rsid w:val="0078027E"/>
    <w:rsid w:val="00783CE7"/>
    <w:rsid w:val="00783F72"/>
    <w:rsid w:val="00784AC9"/>
    <w:rsid w:val="0078748F"/>
    <w:rsid w:val="0079113A"/>
    <w:rsid w:val="00792C60"/>
    <w:rsid w:val="00792D94"/>
    <w:rsid w:val="0079336B"/>
    <w:rsid w:val="0079385D"/>
    <w:rsid w:val="007975E2"/>
    <w:rsid w:val="007A0793"/>
    <w:rsid w:val="007A0BAC"/>
    <w:rsid w:val="007A0EAC"/>
    <w:rsid w:val="007A66C6"/>
    <w:rsid w:val="007B01F0"/>
    <w:rsid w:val="007B0F18"/>
    <w:rsid w:val="007B1A80"/>
    <w:rsid w:val="007B2097"/>
    <w:rsid w:val="007B25AC"/>
    <w:rsid w:val="007B5466"/>
    <w:rsid w:val="007B5982"/>
    <w:rsid w:val="007B78C3"/>
    <w:rsid w:val="007C2084"/>
    <w:rsid w:val="007C5358"/>
    <w:rsid w:val="007C592D"/>
    <w:rsid w:val="007C5992"/>
    <w:rsid w:val="007C681E"/>
    <w:rsid w:val="007C7B62"/>
    <w:rsid w:val="007C7DCC"/>
    <w:rsid w:val="007D13EB"/>
    <w:rsid w:val="007D491C"/>
    <w:rsid w:val="007D6081"/>
    <w:rsid w:val="007E0E21"/>
    <w:rsid w:val="007E32C8"/>
    <w:rsid w:val="007E523F"/>
    <w:rsid w:val="007E56FD"/>
    <w:rsid w:val="007E57D8"/>
    <w:rsid w:val="007F0105"/>
    <w:rsid w:val="007F0214"/>
    <w:rsid w:val="007F0E55"/>
    <w:rsid w:val="007F109A"/>
    <w:rsid w:val="007F29BD"/>
    <w:rsid w:val="007F696A"/>
    <w:rsid w:val="007F7434"/>
    <w:rsid w:val="008001BF"/>
    <w:rsid w:val="00800535"/>
    <w:rsid w:val="00800CB7"/>
    <w:rsid w:val="008039C0"/>
    <w:rsid w:val="00804196"/>
    <w:rsid w:val="00806791"/>
    <w:rsid w:val="008110B7"/>
    <w:rsid w:val="00811FCE"/>
    <w:rsid w:val="00822192"/>
    <w:rsid w:val="00823964"/>
    <w:rsid w:val="00824A12"/>
    <w:rsid w:val="008254B5"/>
    <w:rsid w:val="00827771"/>
    <w:rsid w:val="008332C0"/>
    <w:rsid w:val="0083456E"/>
    <w:rsid w:val="00834F4E"/>
    <w:rsid w:val="008403E4"/>
    <w:rsid w:val="00842EA3"/>
    <w:rsid w:val="0084364A"/>
    <w:rsid w:val="008456E7"/>
    <w:rsid w:val="0084602A"/>
    <w:rsid w:val="008467C8"/>
    <w:rsid w:val="008479AA"/>
    <w:rsid w:val="00850546"/>
    <w:rsid w:val="0085486D"/>
    <w:rsid w:val="00854922"/>
    <w:rsid w:val="00854CBB"/>
    <w:rsid w:val="0085676B"/>
    <w:rsid w:val="008575AD"/>
    <w:rsid w:val="0086269E"/>
    <w:rsid w:val="00866AB6"/>
    <w:rsid w:val="008732EA"/>
    <w:rsid w:val="00873614"/>
    <w:rsid w:val="0087364C"/>
    <w:rsid w:val="008747CC"/>
    <w:rsid w:val="00881F64"/>
    <w:rsid w:val="00882081"/>
    <w:rsid w:val="0088286F"/>
    <w:rsid w:val="00884672"/>
    <w:rsid w:val="00885E42"/>
    <w:rsid w:val="00890612"/>
    <w:rsid w:val="00890F05"/>
    <w:rsid w:val="00891CA9"/>
    <w:rsid w:val="00892A6A"/>
    <w:rsid w:val="0089795E"/>
    <w:rsid w:val="008A0E4F"/>
    <w:rsid w:val="008A19C9"/>
    <w:rsid w:val="008A3D9C"/>
    <w:rsid w:val="008A4A5A"/>
    <w:rsid w:val="008A6C0D"/>
    <w:rsid w:val="008B22F6"/>
    <w:rsid w:val="008B613A"/>
    <w:rsid w:val="008B68A5"/>
    <w:rsid w:val="008C1159"/>
    <w:rsid w:val="008C199A"/>
    <w:rsid w:val="008C448D"/>
    <w:rsid w:val="008C5597"/>
    <w:rsid w:val="008C55EB"/>
    <w:rsid w:val="008C5FF2"/>
    <w:rsid w:val="008C6145"/>
    <w:rsid w:val="008D08B7"/>
    <w:rsid w:val="008D1C0D"/>
    <w:rsid w:val="008D2415"/>
    <w:rsid w:val="008D308E"/>
    <w:rsid w:val="008D429D"/>
    <w:rsid w:val="008D50E7"/>
    <w:rsid w:val="008D5580"/>
    <w:rsid w:val="008E0663"/>
    <w:rsid w:val="008E45B0"/>
    <w:rsid w:val="008E5593"/>
    <w:rsid w:val="008E5D6F"/>
    <w:rsid w:val="008E5DA9"/>
    <w:rsid w:val="008E6E8D"/>
    <w:rsid w:val="008F08B2"/>
    <w:rsid w:val="008F0D3D"/>
    <w:rsid w:val="008F1620"/>
    <w:rsid w:val="008F2D78"/>
    <w:rsid w:val="008F3BD1"/>
    <w:rsid w:val="008F6378"/>
    <w:rsid w:val="008F79BD"/>
    <w:rsid w:val="008F7A7B"/>
    <w:rsid w:val="009005AE"/>
    <w:rsid w:val="00903AD4"/>
    <w:rsid w:val="0090577A"/>
    <w:rsid w:val="00905C61"/>
    <w:rsid w:val="009076A4"/>
    <w:rsid w:val="00907F51"/>
    <w:rsid w:val="0091037F"/>
    <w:rsid w:val="0091167B"/>
    <w:rsid w:val="009123A6"/>
    <w:rsid w:val="00914BEE"/>
    <w:rsid w:val="00915F86"/>
    <w:rsid w:val="00916029"/>
    <w:rsid w:val="00920079"/>
    <w:rsid w:val="00921EA5"/>
    <w:rsid w:val="009255A9"/>
    <w:rsid w:val="0092674D"/>
    <w:rsid w:val="00926937"/>
    <w:rsid w:val="0092749E"/>
    <w:rsid w:val="00927EA5"/>
    <w:rsid w:val="0093082A"/>
    <w:rsid w:val="009325B5"/>
    <w:rsid w:val="0093483D"/>
    <w:rsid w:val="009403F9"/>
    <w:rsid w:val="00943459"/>
    <w:rsid w:val="009448BC"/>
    <w:rsid w:val="009465EA"/>
    <w:rsid w:val="00951975"/>
    <w:rsid w:val="00953B7C"/>
    <w:rsid w:val="00954500"/>
    <w:rsid w:val="00955E4F"/>
    <w:rsid w:val="00960DC3"/>
    <w:rsid w:val="00964112"/>
    <w:rsid w:val="0096619F"/>
    <w:rsid w:val="00966500"/>
    <w:rsid w:val="00966955"/>
    <w:rsid w:val="00967461"/>
    <w:rsid w:val="00970252"/>
    <w:rsid w:val="00972E0C"/>
    <w:rsid w:val="00973D6B"/>
    <w:rsid w:val="0098154F"/>
    <w:rsid w:val="009821A9"/>
    <w:rsid w:val="009837DC"/>
    <w:rsid w:val="009853D6"/>
    <w:rsid w:val="00986B1D"/>
    <w:rsid w:val="00986DF7"/>
    <w:rsid w:val="00990166"/>
    <w:rsid w:val="00990665"/>
    <w:rsid w:val="009917D5"/>
    <w:rsid w:val="00993731"/>
    <w:rsid w:val="009A6124"/>
    <w:rsid w:val="009B148A"/>
    <w:rsid w:val="009B2D36"/>
    <w:rsid w:val="009C09F7"/>
    <w:rsid w:val="009C0E72"/>
    <w:rsid w:val="009C20A4"/>
    <w:rsid w:val="009C2708"/>
    <w:rsid w:val="009C5EB6"/>
    <w:rsid w:val="009C7C2E"/>
    <w:rsid w:val="009D0491"/>
    <w:rsid w:val="009D070C"/>
    <w:rsid w:val="009D5493"/>
    <w:rsid w:val="009D6F24"/>
    <w:rsid w:val="009E0A58"/>
    <w:rsid w:val="009E4037"/>
    <w:rsid w:val="009E7201"/>
    <w:rsid w:val="009F459B"/>
    <w:rsid w:val="009F7406"/>
    <w:rsid w:val="00A00073"/>
    <w:rsid w:val="00A01B32"/>
    <w:rsid w:val="00A13FAB"/>
    <w:rsid w:val="00A1709E"/>
    <w:rsid w:val="00A20B3B"/>
    <w:rsid w:val="00A215DF"/>
    <w:rsid w:val="00A21619"/>
    <w:rsid w:val="00A21C0D"/>
    <w:rsid w:val="00A2266F"/>
    <w:rsid w:val="00A24CD9"/>
    <w:rsid w:val="00A27E61"/>
    <w:rsid w:val="00A32BC2"/>
    <w:rsid w:val="00A32BFA"/>
    <w:rsid w:val="00A34025"/>
    <w:rsid w:val="00A36D0A"/>
    <w:rsid w:val="00A37F92"/>
    <w:rsid w:val="00A405D7"/>
    <w:rsid w:val="00A409BE"/>
    <w:rsid w:val="00A43DAD"/>
    <w:rsid w:val="00A4434F"/>
    <w:rsid w:val="00A45EDF"/>
    <w:rsid w:val="00A5013D"/>
    <w:rsid w:val="00A53363"/>
    <w:rsid w:val="00A539F7"/>
    <w:rsid w:val="00A53A16"/>
    <w:rsid w:val="00A5425B"/>
    <w:rsid w:val="00A5428E"/>
    <w:rsid w:val="00A546D8"/>
    <w:rsid w:val="00A54F9A"/>
    <w:rsid w:val="00A56910"/>
    <w:rsid w:val="00A573DA"/>
    <w:rsid w:val="00A57584"/>
    <w:rsid w:val="00A639D4"/>
    <w:rsid w:val="00A640AE"/>
    <w:rsid w:val="00A64164"/>
    <w:rsid w:val="00A76E9F"/>
    <w:rsid w:val="00A82C51"/>
    <w:rsid w:val="00A82D47"/>
    <w:rsid w:val="00A8345D"/>
    <w:rsid w:val="00A85C4B"/>
    <w:rsid w:val="00A91087"/>
    <w:rsid w:val="00A94E23"/>
    <w:rsid w:val="00A953E9"/>
    <w:rsid w:val="00A96094"/>
    <w:rsid w:val="00AA0D06"/>
    <w:rsid w:val="00AA0F34"/>
    <w:rsid w:val="00AA12D9"/>
    <w:rsid w:val="00AA17C4"/>
    <w:rsid w:val="00AA1A4E"/>
    <w:rsid w:val="00AA1E08"/>
    <w:rsid w:val="00AA383A"/>
    <w:rsid w:val="00AA74EF"/>
    <w:rsid w:val="00AA7509"/>
    <w:rsid w:val="00AB2F3C"/>
    <w:rsid w:val="00AB4961"/>
    <w:rsid w:val="00AB6882"/>
    <w:rsid w:val="00AB7A26"/>
    <w:rsid w:val="00AC1EBD"/>
    <w:rsid w:val="00AC4C18"/>
    <w:rsid w:val="00AC5E78"/>
    <w:rsid w:val="00AC6A46"/>
    <w:rsid w:val="00AC79BF"/>
    <w:rsid w:val="00AD08DD"/>
    <w:rsid w:val="00AD371C"/>
    <w:rsid w:val="00AD4172"/>
    <w:rsid w:val="00AD4281"/>
    <w:rsid w:val="00AE11A2"/>
    <w:rsid w:val="00AE3753"/>
    <w:rsid w:val="00AE5FFA"/>
    <w:rsid w:val="00AF00C0"/>
    <w:rsid w:val="00AF0AA6"/>
    <w:rsid w:val="00AF5981"/>
    <w:rsid w:val="00AF6257"/>
    <w:rsid w:val="00AF7E80"/>
    <w:rsid w:val="00B022B7"/>
    <w:rsid w:val="00B03443"/>
    <w:rsid w:val="00B0401F"/>
    <w:rsid w:val="00B0590B"/>
    <w:rsid w:val="00B15156"/>
    <w:rsid w:val="00B1613C"/>
    <w:rsid w:val="00B1680B"/>
    <w:rsid w:val="00B17895"/>
    <w:rsid w:val="00B20A5A"/>
    <w:rsid w:val="00B22434"/>
    <w:rsid w:val="00B2355C"/>
    <w:rsid w:val="00B242CE"/>
    <w:rsid w:val="00B25D0A"/>
    <w:rsid w:val="00B2797C"/>
    <w:rsid w:val="00B3037D"/>
    <w:rsid w:val="00B30DD0"/>
    <w:rsid w:val="00B315E0"/>
    <w:rsid w:val="00B315E5"/>
    <w:rsid w:val="00B326A8"/>
    <w:rsid w:val="00B32F81"/>
    <w:rsid w:val="00B345F4"/>
    <w:rsid w:val="00B3736B"/>
    <w:rsid w:val="00B407EE"/>
    <w:rsid w:val="00B4195B"/>
    <w:rsid w:val="00B42C9B"/>
    <w:rsid w:val="00B441E9"/>
    <w:rsid w:val="00B4432B"/>
    <w:rsid w:val="00B465FF"/>
    <w:rsid w:val="00B46D5F"/>
    <w:rsid w:val="00B4714E"/>
    <w:rsid w:val="00B476E1"/>
    <w:rsid w:val="00B50E7F"/>
    <w:rsid w:val="00B53487"/>
    <w:rsid w:val="00B53DB0"/>
    <w:rsid w:val="00B57B4B"/>
    <w:rsid w:val="00B57E68"/>
    <w:rsid w:val="00B6221D"/>
    <w:rsid w:val="00B70376"/>
    <w:rsid w:val="00B723FF"/>
    <w:rsid w:val="00B72F9E"/>
    <w:rsid w:val="00B7346E"/>
    <w:rsid w:val="00B74FBB"/>
    <w:rsid w:val="00B762F2"/>
    <w:rsid w:val="00B76AFA"/>
    <w:rsid w:val="00B81284"/>
    <w:rsid w:val="00B85CC9"/>
    <w:rsid w:val="00B86F3C"/>
    <w:rsid w:val="00B9006A"/>
    <w:rsid w:val="00B926F6"/>
    <w:rsid w:val="00B929EA"/>
    <w:rsid w:val="00B92E69"/>
    <w:rsid w:val="00B93562"/>
    <w:rsid w:val="00B93585"/>
    <w:rsid w:val="00B94968"/>
    <w:rsid w:val="00B95878"/>
    <w:rsid w:val="00B9673E"/>
    <w:rsid w:val="00B97E9B"/>
    <w:rsid w:val="00BA1C30"/>
    <w:rsid w:val="00BA2F1B"/>
    <w:rsid w:val="00BA46D8"/>
    <w:rsid w:val="00BA69B0"/>
    <w:rsid w:val="00BA77DC"/>
    <w:rsid w:val="00BA7D83"/>
    <w:rsid w:val="00BB0A8F"/>
    <w:rsid w:val="00BB1B16"/>
    <w:rsid w:val="00BB2DBF"/>
    <w:rsid w:val="00BB5630"/>
    <w:rsid w:val="00BB65C0"/>
    <w:rsid w:val="00BC23B6"/>
    <w:rsid w:val="00BC6517"/>
    <w:rsid w:val="00BC739B"/>
    <w:rsid w:val="00BD24BB"/>
    <w:rsid w:val="00BD5831"/>
    <w:rsid w:val="00BD6AF4"/>
    <w:rsid w:val="00BD7357"/>
    <w:rsid w:val="00BD77AA"/>
    <w:rsid w:val="00BE15BA"/>
    <w:rsid w:val="00BE2AB7"/>
    <w:rsid w:val="00BE475C"/>
    <w:rsid w:val="00BE5190"/>
    <w:rsid w:val="00BF2469"/>
    <w:rsid w:val="00BF26D9"/>
    <w:rsid w:val="00BF3FD9"/>
    <w:rsid w:val="00BF42BF"/>
    <w:rsid w:val="00BF4307"/>
    <w:rsid w:val="00BF4F23"/>
    <w:rsid w:val="00BF5B9F"/>
    <w:rsid w:val="00BF646D"/>
    <w:rsid w:val="00BF6A4B"/>
    <w:rsid w:val="00BF7E81"/>
    <w:rsid w:val="00C000BE"/>
    <w:rsid w:val="00C03955"/>
    <w:rsid w:val="00C04572"/>
    <w:rsid w:val="00C050B3"/>
    <w:rsid w:val="00C056A7"/>
    <w:rsid w:val="00C05D62"/>
    <w:rsid w:val="00C0604A"/>
    <w:rsid w:val="00C11493"/>
    <w:rsid w:val="00C11E1F"/>
    <w:rsid w:val="00C12FE7"/>
    <w:rsid w:val="00C13BE5"/>
    <w:rsid w:val="00C148C5"/>
    <w:rsid w:val="00C15A0A"/>
    <w:rsid w:val="00C15B7D"/>
    <w:rsid w:val="00C15C01"/>
    <w:rsid w:val="00C228C0"/>
    <w:rsid w:val="00C25111"/>
    <w:rsid w:val="00C26F75"/>
    <w:rsid w:val="00C327B5"/>
    <w:rsid w:val="00C32A20"/>
    <w:rsid w:val="00C33CD2"/>
    <w:rsid w:val="00C34305"/>
    <w:rsid w:val="00C3606D"/>
    <w:rsid w:val="00C36BC9"/>
    <w:rsid w:val="00C373FB"/>
    <w:rsid w:val="00C427B9"/>
    <w:rsid w:val="00C4328F"/>
    <w:rsid w:val="00C43577"/>
    <w:rsid w:val="00C43581"/>
    <w:rsid w:val="00C44B8C"/>
    <w:rsid w:val="00C46560"/>
    <w:rsid w:val="00C47892"/>
    <w:rsid w:val="00C50146"/>
    <w:rsid w:val="00C51DD1"/>
    <w:rsid w:val="00C52812"/>
    <w:rsid w:val="00C563D8"/>
    <w:rsid w:val="00C56CCE"/>
    <w:rsid w:val="00C57B9E"/>
    <w:rsid w:val="00C60066"/>
    <w:rsid w:val="00C60868"/>
    <w:rsid w:val="00C613E3"/>
    <w:rsid w:val="00C67C83"/>
    <w:rsid w:val="00C703AF"/>
    <w:rsid w:val="00C703D8"/>
    <w:rsid w:val="00C7149F"/>
    <w:rsid w:val="00C71821"/>
    <w:rsid w:val="00C73139"/>
    <w:rsid w:val="00C73BB5"/>
    <w:rsid w:val="00C75639"/>
    <w:rsid w:val="00C775A4"/>
    <w:rsid w:val="00C8348E"/>
    <w:rsid w:val="00C85215"/>
    <w:rsid w:val="00C856CB"/>
    <w:rsid w:val="00C90B83"/>
    <w:rsid w:val="00C90D60"/>
    <w:rsid w:val="00C94693"/>
    <w:rsid w:val="00C94769"/>
    <w:rsid w:val="00C958FD"/>
    <w:rsid w:val="00C97423"/>
    <w:rsid w:val="00CB1C5B"/>
    <w:rsid w:val="00CB49B6"/>
    <w:rsid w:val="00CC124D"/>
    <w:rsid w:val="00CC2718"/>
    <w:rsid w:val="00CC297D"/>
    <w:rsid w:val="00CC36C1"/>
    <w:rsid w:val="00CC5271"/>
    <w:rsid w:val="00CC59F1"/>
    <w:rsid w:val="00CC5F76"/>
    <w:rsid w:val="00CC657B"/>
    <w:rsid w:val="00CD08B2"/>
    <w:rsid w:val="00CD2196"/>
    <w:rsid w:val="00CD4C2E"/>
    <w:rsid w:val="00CD6C20"/>
    <w:rsid w:val="00CD7CD6"/>
    <w:rsid w:val="00CE023D"/>
    <w:rsid w:val="00CE14D4"/>
    <w:rsid w:val="00CE2157"/>
    <w:rsid w:val="00CE2665"/>
    <w:rsid w:val="00CE288A"/>
    <w:rsid w:val="00CE28FA"/>
    <w:rsid w:val="00CE3A99"/>
    <w:rsid w:val="00CE4301"/>
    <w:rsid w:val="00CE4894"/>
    <w:rsid w:val="00CE559E"/>
    <w:rsid w:val="00CE57C8"/>
    <w:rsid w:val="00CE5BAC"/>
    <w:rsid w:val="00CF2BF4"/>
    <w:rsid w:val="00CF30B3"/>
    <w:rsid w:val="00CF30E5"/>
    <w:rsid w:val="00CF51F0"/>
    <w:rsid w:val="00CF5A8D"/>
    <w:rsid w:val="00D01169"/>
    <w:rsid w:val="00D0508C"/>
    <w:rsid w:val="00D052E6"/>
    <w:rsid w:val="00D05539"/>
    <w:rsid w:val="00D116D1"/>
    <w:rsid w:val="00D1224A"/>
    <w:rsid w:val="00D12AE6"/>
    <w:rsid w:val="00D131E6"/>
    <w:rsid w:val="00D17491"/>
    <w:rsid w:val="00D214EB"/>
    <w:rsid w:val="00D22E9B"/>
    <w:rsid w:val="00D275AB"/>
    <w:rsid w:val="00D277FE"/>
    <w:rsid w:val="00D27D35"/>
    <w:rsid w:val="00D27FAC"/>
    <w:rsid w:val="00D32225"/>
    <w:rsid w:val="00D352FE"/>
    <w:rsid w:val="00D353C5"/>
    <w:rsid w:val="00D35B20"/>
    <w:rsid w:val="00D4016B"/>
    <w:rsid w:val="00D42EE8"/>
    <w:rsid w:val="00D43DEC"/>
    <w:rsid w:val="00D458E7"/>
    <w:rsid w:val="00D464E6"/>
    <w:rsid w:val="00D46BAC"/>
    <w:rsid w:val="00D510FB"/>
    <w:rsid w:val="00D51A65"/>
    <w:rsid w:val="00D5386B"/>
    <w:rsid w:val="00D54C9B"/>
    <w:rsid w:val="00D57C22"/>
    <w:rsid w:val="00D60B2D"/>
    <w:rsid w:val="00D61FEA"/>
    <w:rsid w:val="00D628CB"/>
    <w:rsid w:val="00D647C4"/>
    <w:rsid w:val="00D668A6"/>
    <w:rsid w:val="00D740E9"/>
    <w:rsid w:val="00D83C4D"/>
    <w:rsid w:val="00D86FFE"/>
    <w:rsid w:val="00D917C1"/>
    <w:rsid w:val="00D91913"/>
    <w:rsid w:val="00D95544"/>
    <w:rsid w:val="00D97EFB"/>
    <w:rsid w:val="00DA2C9C"/>
    <w:rsid w:val="00DA3E12"/>
    <w:rsid w:val="00DA4C0F"/>
    <w:rsid w:val="00DA59B1"/>
    <w:rsid w:val="00DB1E36"/>
    <w:rsid w:val="00DB2C7C"/>
    <w:rsid w:val="00DB4547"/>
    <w:rsid w:val="00DB4922"/>
    <w:rsid w:val="00DB696B"/>
    <w:rsid w:val="00DC1526"/>
    <w:rsid w:val="00DC3061"/>
    <w:rsid w:val="00DC3A5A"/>
    <w:rsid w:val="00DC7168"/>
    <w:rsid w:val="00DC7A02"/>
    <w:rsid w:val="00DD09EB"/>
    <w:rsid w:val="00DD2CF6"/>
    <w:rsid w:val="00DD3875"/>
    <w:rsid w:val="00DD4DEC"/>
    <w:rsid w:val="00DD50FF"/>
    <w:rsid w:val="00DD5255"/>
    <w:rsid w:val="00DD5FE7"/>
    <w:rsid w:val="00DD671F"/>
    <w:rsid w:val="00DE10E6"/>
    <w:rsid w:val="00DE220D"/>
    <w:rsid w:val="00DE3ACB"/>
    <w:rsid w:val="00DE473A"/>
    <w:rsid w:val="00DE7A3E"/>
    <w:rsid w:val="00DF0853"/>
    <w:rsid w:val="00DF2D48"/>
    <w:rsid w:val="00DF32A1"/>
    <w:rsid w:val="00DF3786"/>
    <w:rsid w:val="00DF3B79"/>
    <w:rsid w:val="00DF43DF"/>
    <w:rsid w:val="00DF4C12"/>
    <w:rsid w:val="00DF7578"/>
    <w:rsid w:val="00E01E6C"/>
    <w:rsid w:val="00E029AC"/>
    <w:rsid w:val="00E02C93"/>
    <w:rsid w:val="00E05DB8"/>
    <w:rsid w:val="00E0603C"/>
    <w:rsid w:val="00E06A75"/>
    <w:rsid w:val="00E06E41"/>
    <w:rsid w:val="00E0753F"/>
    <w:rsid w:val="00E07807"/>
    <w:rsid w:val="00E118F9"/>
    <w:rsid w:val="00E11D44"/>
    <w:rsid w:val="00E14F69"/>
    <w:rsid w:val="00E15927"/>
    <w:rsid w:val="00E159F3"/>
    <w:rsid w:val="00E15CC7"/>
    <w:rsid w:val="00E16F7C"/>
    <w:rsid w:val="00E2044E"/>
    <w:rsid w:val="00E20624"/>
    <w:rsid w:val="00E20EA1"/>
    <w:rsid w:val="00E231CE"/>
    <w:rsid w:val="00E25F48"/>
    <w:rsid w:val="00E316FD"/>
    <w:rsid w:val="00E34278"/>
    <w:rsid w:val="00E363B7"/>
    <w:rsid w:val="00E36974"/>
    <w:rsid w:val="00E37525"/>
    <w:rsid w:val="00E37C85"/>
    <w:rsid w:val="00E403D2"/>
    <w:rsid w:val="00E40B8D"/>
    <w:rsid w:val="00E40CEE"/>
    <w:rsid w:val="00E421A4"/>
    <w:rsid w:val="00E43AA7"/>
    <w:rsid w:val="00E44E88"/>
    <w:rsid w:val="00E47540"/>
    <w:rsid w:val="00E47FE1"/>
    <w:rsid w:val="00E527AC"/>
    <w:rsid w:val="00E52FC9"/>
    <w:rsid w:val="00E5370E"/>
    <w:rsid w:val="00E53962"/>
    <w:rsid w:val="00E560E7"/>
    <w:rsid w:val="00E56FFB"/>
    <w:rsid w:val="00E57170"/>
    <w:rsid w:val="00E6021D"/>
    <w:rsid w:val="00E60270"/>
    <w:rsid w:val="00E641EF"/>
    <w:rsid w:val="00E64436"/>
    <w:rsid w:val="00E64481"/>
    <w:rsid w:val="00E65F29"/>
    <w:rsid w:val="00E66664"/>
    <w:rsid w:val="00E72D0C"/>
    <w:rsid w:val="00E73C64"/>
    <w:rsid w:val="00E74986"/>
    <w:rsid w:val="00E7576B"/>
    <w:rsid w:val="00E773AF"/>
    <w:rsid w:val="00E777F3"/>
    <w:rsid w:val="00E77E50"/>
    <w:rsid w:val="00E8084C"/>
    <w:rsid w:val="00E8099A"/>
    <w:rsid w:val="00E81D21"/>
    <w:rsid w:val="00E829AB"/>
    <w:rsid w:val="00E84DD9"/>
    <w:rsid w:val="00E84FA7"/>
    <w:rsid w:val="00E861D1"/>
    <w:rsid w:val="00E8723E"/>
    <w:rsid w:val="00E87322"/>
    <w:rsid w:val="00E87D72"/>
    <w:rsid w:val="00E92E19"/>
    <w:rsid w:val="00E95A62"/>
    <w:rsid w:val="00E9690E"/>
    <w:rsid w:val="00E96E5E"/>
    <w:rsid w:val="00EA1078"/>
    <w:rsid w:val="00EA4A03"/>
    <w:rsid w:val="00EA614E"/>
    <w:rsid w:val="00EB012A"/>
    <w:rsid w:val="00EB2B2B"/>
    <w:rsid w:val="00EB4283"/>
    <w:rsid w:val="00EB7BA1"/>
    <w:rsid w:val="00EC0F5E"/>
    <w:rsid w:val="00EC3396"/>
    <w:rsid w:val="00EC4B8E"/>
    <w:rsid w:val="00EC7C35"/>
    <w:rsid w:val="00ED039E"/>
    <w:rsid w:val="00ED0D09"/>
    <w:rsid w:val="00ED15EB"/>
    <w:rsid w:val="00ED4033"/>
    <w:rsid w:val="00ED45EA"/>
    <w:rsid w:val="00ED620B"/>
    <w:rsid w:val="00ED7174"/>
    <w:rsid w:val="00EE0067"/>
    <w:rsid w:val="00EE0339"/>
    <w:rsid w:val="00EE0A00"/>
    <w:rsid w:val="00EE11C1"/>
    <w:rsid w:val="00EE1817"/>
    <w:rsid w:val="00EE1F9C"/>
    <w:rsid w:val="00EE323C"/>
    <w:rsid w:val="00EE4E5A"/>
    <w:rsid w:val="00EE5415"/>
    <w:rsid w:val="00EE5F21"/>
    <w:rsid w:val="00EE5F4A"/>
    <w:rsid w:val="00EE63D3"/>
    <w:rsid w:val="00EF160E"/>
    <w:rsid w:val="00EF6C31"/>
    <w:rsid w:val="00EF6F47"/>
    <w:rsid w:val="00EF72E4"/>
    <w:rsid w:val="00EF7383"/>
    <w:rsid w:val="00F00760"/>
    <w:rsid w:val="00F007B7"/>
    <w:rsid w:val="00F04B07"/>
    <w:rsid w:val="00F04C8B"/>
    <w:rsid w:val="00F0562E"/>
    <w:rsid w:val="00F05F4B"/>
    <w:rsid w:val="00F06EEE"/>
    <w:rsid w:val="00F10559"/>
    <w:rsid w:val="00F117AE"/>
    <w:rsid w:val="00F11D87"/>
    <w:rsid w:val="00F1211C"/>
    <w:rsid w:val="00F123BF"/>
    <w:rsid w:val="00F12B8A"/>
    <w:rsid w:val="00F1595C"/>
    <w:rsid w:val="00F1633B"/>
    <w:rsid w:val="00F16833"/>
    <w:rsid w:val="00F17765"/>
    <w:rsid w:val="00F25038"/>
    <w:rsid w:val="00F259CD"/>
    <w:rsid w:val="00F27CCE"/>
    <w:rsid w:val="00F30AC9"/>
    <w:rsid w:val="00F30C58"/>
    <w:rsid w:val="00F318EA"/>
    <w:rsid w:val="00F33C25"/>
    <w:rsid w:val="00F35373"/>
    <w:rsid w:val="00F36572"/>
    <w:rsid w:val="00F37DDB"/>
    <w:rsid w:val="00F404BA"/>
    <w:rsid w:val="00F413A7"/>
    <w:rsid w:val="00F41945"/>
    <w:rsid w:val="00F41F9A"/>
    <w:rsid w:val="00F46DE9"/>
    <w:rsid w:val="00F47678"/>
    <w:rsid w:val="00F5016A"/>
    <w:rsid w:val="00F50660"/>
    <w:rsid w:val="00F519FA"/>
    <w:rsid w:val="00F532FD"/>
    <w:rsid w:val="00F57252"/>
    <w:rsid w:val="00F60184"/>
    <w:rsid w:val="00F61DCE"/>
    <w:rsid w:val="00F62115"/>
    <w:rsid w:val="00F62625"/>
    <w:rsid w:val="00F62684"/>
    <w:rsid w:val="00F63A95"/>
    <w:rsid w:val="00F63C89"/>
    <w:rsid w:val="00F64484"/>
    <w:rsid w:val="00F7032C"/>
    <w:rsid w:val="00F717F7"/>
    <w:rsid w:val="00F71E8B"/>
    <w:rsid w:val="00F72F04"/>
    <w:rsid w:val="00F761C9"/>
    <w:rsid w:val="00F768C1"/>
    <w:rsid w:val="00F77B42"/>
    <w:rsid w:val="00F835A8"/>
    <w:rsid w:val="00F84AE7"/>
    <w:rsid w:val="00F8584E"/>
    <w:rsid w:val="00F8619F"/>
    <w:rsid w:val="00F86708"/>
    <w:rsid w:val="00F87A6B"/>
    <w:rsid w:val="00F90EA4"/>
    <w:rsid w:val="00F90F23"/>
    <w:rsid w:val="00F9240E"/>
    <w:rsid w:val="00F946F3"/>
    <w:rsid w:val="00F956AE"/>
    <w:rsid w:val="00F95A12"/>
    <w:rsid w:val="00F97C9E"/>
    <w:rsid w:val="00FA063E"/>
    <w:rsid w:val="00FA1610"/>
    <w:rsid w:val="00FA1690"/>
    <w:rsid w:val="00FA293D"/>
    <w:rsid w:val="00FA3500"/>
    <w:rsid w:val="00FA64AC"/>
    <w:rsid w:val="00FB2507"/>
    <w:rsid w:val="00FB32E8"/>
    <w:rsid w:val="00FB40A6"/>
    <w:rsid w:val="00FB4524"/>
    <w:rsid w:val="00FB48D3"/>
    <w:rsid w:val="00FB57DE"/>
    <w:rsid w:val="00FB6C54"/>
    <w:rsid w:val="00FB761C"/>
    <w:rsid w:val="00FC29BE"/>
    <w:rsid w:val="00FC45C1"/>
    <w:rsid w:val="00FD02D9"/>
    <w:rsid w:val="00FD046A"/>
    <w:rsid w:val="00FD0872"/>
    <w:rsid w:val="00FD0C71"/>
    <w:rsid w:val="00FD163E"/>
    <w:rsid w:val="00FD316A"/>
    <w:rsid w:val="00FD3FC7"/>
    <w:rsid w:val="00FD42F1"/>
    <w:rsid w:val="00FD469F"/>
    <w:rsid w:val="00FD4C53"/>
    <w:rsid w:val="00FD6EFE"/>
    <w:rsid w:val="00FD78AE"/>
    <w:rsid w:val="00FE1362"/>
    <w:rsid w:val="00FE445D"/>
    <w:rsid w:val="00FE4E82"/>
    <w:rsid w:val="00FF1CB9"/>
    <w:rsid w:val="00FF23B6"/>
    <w:rsid w:val="00FF44F1"/>
    <w:rsid w:val="025B221C"/>
    <w:rsid w:val="03B86E1A"/>
    <w:rsid w:val="04D402EB"/>
    <w:rsid w:val="06836ECE"/>
    <w:rsid w:val="07D956F0"/>
    <w:rsid w:val="09F05AA2"/>
    <w:rsid w:val="0C1B1501"/>
    <w:rsid w:val="0F8E43FF"/>
    <w:rsid w:val="109B2992"/>
    <w:rsid w:val="1160665C"/>
    <w:rsid w:val="13E704F4"/>
    <w:rsid w:val="148E764E"/>
    <w:rsid w:val="177F7350"/>
    <w:rsid w:val="19814C1F"/>
    <w:rsid w:val="1A2A4F97"/>
    <w:rsid w:val="1CE17054"/>
    <w:rsid w:val="203760B8"/>
    <w:rsid w:val="218029C6"/>
    <w:rsid w:val="248F17CF"/>
    <w:rsid w:val="26790EF8"/>
    <w:rsid w:val="26CB110D"/>
    <w:rsid w:val="2AA33D3C"/>
    <w:rsid w:val="2DE85C1D"/>
    <w:rsid w:val="2EB45E84"/>
    <w:rsid w:val="30763AB6"/>
    <w:rsid w:val="31077B21"/>
    <w:rsid w:val="366C1EDE"/>
    <w:rsid w:val="373C383C"/>
    <w:rsid w:val="3A9A4129"/>
    <w:rsid w:val="3D6B7A3D"/>
    <w:rsid w:val="3EC03881"/>
    <w:rsid w:val="3F702C88"/>
    <w:rsid w:val="3FD15D94"/>
    <w:rsid w:val="419D552F"/>
    <w:rsid w:val="420A2235"/>
    <w:rsid w:val="45A9445A"/>
    <w:rsid w:val="47170745"/>
    <w:rsid w:val="476E41E6"/>
    <w:rsid w:val="4958014A"/>
    <w:rsid w:val="4DEC69AB"/>
    <w:rsid w:val="4E0F1839"/>
    <w:rsid w:val="50CE26AB"/>
    <w:rsid w:val="53140BE3"/>
    <w:rsid w:val="596F2BE8"/>
    <w:rsid w:val="5B0D4A78"/>
    <w:rsid w:val="5C772474"/>
    <w:rsid w:val="5DE574EE"/>
    <w:rsid w:val="5FE55A39"/>
    <w:rsid w:val="60D959D9"/>
    <w:rsid w:val="615C35F0"/>
    <w:rsid w:val="61CF27C8"/>
    <w:rsid w:val="61F125A5"/>
    <w:rsid w:val="629E3C63"/>
    <w:rsid w:val="636E1593"/>
    <w:rsid w:val="677243C5"/>
    <w:rsid w:val="6A37294F"/>
    <w:rsid w:val="6B562530"/>
    <w:rsid w:val="6BF77489"/>
    <w:rsid w:val="6DF03079"/>
    <w:rsid w:val="701F1D8E"/>
    <w:rsid w:val="76C65B32"/>
    <w:rsid w:val="78557CDE"/>
    <w:rsid w:val="7A521300"/>
    <w:rsid w:val="7A7F651E"/>
    <w:rsid w:val="7D5344D7"/>
    <w:rsid w:val="7E1D5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nhideWhenUsed="0"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3">
    <w:name w:val="heading 1"/>
    <w:basedOn w:val="1"/>
    <w:next w:val="1"/>
    <w:link w:val="40"/>
    <w:qFormat/>
    <w:uiPriority w:val="0"/>
    <w:pPr>
      <w:keepNext/>
      <w:keepLines/>
      <w:numPr>
        <w:ilvl w:val="0"/>
        <w:numId w:val="1"/>
      </w:numPr>
      <w:spacing w:line="240" w:lineRule="auto"/>
      <w:jc w:val="left"/>
      <w:outlineLvl w:val="0"/>
    </w:pPr>
    <w:rPr>
      <w:rFonts w:eastAsia="黑体" w:cstheme="minorBidi"/>
      <w:b/>
      <w:bCs/>
      <w:kern w:val="44"/>
      <w:sz w:val="30"/>
      <w:szCs w:val="30"/>
    </w:rPr>
  </w:style>
  <w:style w:type="paragraph" w:styleId="4">
    <w:name w:val="heading 2"/>
    <w:basedOn w:val="3"/>
    <w:next w:val="1"/>
    <w:link w:val="43"/>
    <w:unhideWhenUsed/>
    <w:qFormat/>
    <w:uiPriority w:val="0"/>
    <w:pPr>
      <w:numPr>
        <w:ilvl w:val="1"/>
        <w:numId w:val="2"/>
      </w:numPr>
      <w:outlineLvl w:val="1"/>
    </w:pPr>
    <w:rPr>
      <w:sz w:val="28"/>
    </w:rPr>
  </w:style>
  <w:style w:type="paragraph" w:styleId="5">
    <w:name w:val="heading 3"/>
    <w:basedOn w:val="1"/>
    <w:next w:val="1"/>
    <w:link w:val="44"/>
    <w:unhideWhenUsed/>
    <w:qFormat/>
    <w:uiPriority w:val="0"/>
    <w:pPr>
      <w:numPr>
        <w:ilvl w:val="2"/>
        <w:numId w:val="3"/>
      </w:numPr>
      <w:outlineLvl w:val="2"/>
    </w:pPr>
  </w:style>
  <w:style w:type="paragraph" w:styleId="6">
    <w:name w:val="heading 4"/>
    <w:basedOn w:val="5"/>
    <w:next w:val="1"/>
    <w:link w:val="51"/>
    <w:unhideWhenUsed/>
    <w:qFormat/>
    <w:uiPriority w:val="9"/>
    <w:pPr>
      <w:numPr>
        <w:ilvl w:val="3"/>
        <w:numId w:val="4"/>
      </w:numPr>
      <w:outlineLvl w:val="3"/>
    </w:pPr>
    <w:rPr>
      <w:sz w:val="2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360" w:lineRule="auto"/>
    </w:pPr>
    <w:rPr>
      <w:rFonts w:ascii="仿宋_GB2312" w:eastAsia="仿宋_GB2312"/>
      <w:sz w:val="30"/>
      <w:szCs w:val="20"/>
    </w:rPr>
  </w:style>
  <w:style w:type="paragraph" w:styleId="7">
    <w:name w:val="List Number 2"/>
    <w:basedOn w:val="1"/>
    <w:qFormat/>
    <w:uiPriority w:val="0"/>
    <w:pPr>
      <w:widowControl/>
      <w:tabs>
        <w:tab w:val="left" w:pos="800"/>
        <w:tab w:val="left" w:pos="840"/>
      </w:tabs>
      <w:autoSpaceDE/>
      <w:autoSpaceDN/>
      <w:adjustRightInd/>
      <w:spacing w:after="240" w:line="230" w:lineRule="atLeast"/>
      <w:ind w:left="840" w:hanging="420" w:firstLineChars="200"/>
      <w:textAlignment w:val="auto"/>
    </w:pPr>
    <w:rPr>
      <w:rFonts w:ascii="Arial" w:hAnsi="Arial"/>
      <w:sz w:val="20"/>
      <w:lang w:val="en-GB"/>
    </w:rPr>
  </w:style>
  <w:style w:type="paragraph" w:styleId="8">
    <w:name w:val="Normal Indent"/>
    <w:basedOn w:val="1"/>
    <w:qFormat/>
    <w:uiPriority w:val="0"/>
    <w:pPr>
      <w:autoSpaceDE/>
      <w:autoSpaceDN/>
      <w:adjustRightInd/>
      <w:spacing w:line="240" w:lineRule="auto"/>
      <w:ind w:firstLine="420"/>
      <w:textAlignment w:val="auto"/>
    </w:pPr>
    <w:rPr>
      <w:kern w:val="2"/>
    </w:rPr>
  </w:style>
  <w:style w:type="paragraph" w:styleId="9">
    <w:name w:val="caption"/>
    <w:basedOn w:val="1"/>
    <w:next w:val="1"/>
    <w:link w:val="35"/>
    <w:qFormat/>
    <w:uiPriority w:val="35"/>
    <w:pPr>
      <w:autoSpaceDE/>
      <w:autoSpaceDN/>
      <w:adjustRightInd/>
      <w:spacing w:line="240" w:lineRule="auto"/>
      <w:jc w:val="center"/>
      <w:textAlignment w:val="auto"/>
    </w:pPr>
    <w:rPr>
      <w:rFonts w:eastAsia="黑体"/>
      <w:kern w:val="15"/>
      <w:sz w:val="24"/>
      <w:szCs w:val="24"/>
      <w:lang w:val="zh-CN"/>
    </w:rPr>
  </w:style>
  <w:style w:type="paragraph" w:styleId="10">
    <w:name w:val="annotation text"/>
    <w:basedOn w:val="1"/>
    <w:link w:val="45"/>
    <w:semiHidden/>
    <w:unhideWhenUsed/>
    <w:qFormat/>
    <w:uiPriority w:val="99"/>
    <w:pPr>
      <w:jc w:val="left"/>
    </w:pPr>
  </w:style>
  <w:style w:type="paragraph" w:styleId="11">
    <w:name w:val="toc 3"/>
    <w:basedOn w:val="12"/>
    <w:next w:val="1"/>
    <w:qFormat/>
    <w:uiPriority w:val="39"/>
    <w:pPr>
      <w:tabs>
        <w:tab w:val="left" w:pos="840"/>
        <w:tab w:val="right" w:leader="dot" w:pos="9345"/>
      </w:tabs>
    </w:pPr>
  </w:style>
  <w:style w:type="paragraph" w:styleId="12">
    <w:name w:val="toc 2"/>
    <w:basedOn w:val="13"/>
    <w:next w:val="1"/>
    <w:qFormat/>
    <w:uiPriority w:val="39"/>
    <w:pPr>
      <w:tabs>
        <w:tab w:val="left" w:pos="840"/>
        <w:tab w:val="right" w:leader="dot" w:pos="9345"/>
      </w:tabs>
      <w:ind w:firstLine="283" w:firstLineChars="101"/>
    </w:pPr>
  </w:style>
  <w:style w:type="paragraph" w:styleId="13">
    <w:name w:val="toc 1"/>
    <w:next w:val="1"/>
    <w:qFormat/>
    <w:uiPriority w:val="39"/>
    <w:pPr>
      <w:tabs>
        <w:tab w:val="left" w:pos="840"/>
        <w:tab w:val="right" w:leader="dot" w:pos="9345"/>
      </w:tabs>
      <w:spacing w:line="360" w:lineRule="auto"/>
      <w:jc w:val="both"/>
    </w:pPr>
    <w:rPr>
      <w:rFonts w:ascii="宋体" w:hAnsi="Times New Roman" w:eastAsia="宋体" w:cs="Times New Roman"/>
      <w:sz w:val="21"/>
      <w:lang w:val="en-US" w:eastAsia="zh-CN" w:bidi="ar-SA"/>
    </w:rPr>
  </w:style>
  <w:style w:type="paragraph" w:styleId="14">
    <w:name w:val="Date"/>
    <w:basedOn w:val="1"/>
    <w:next w:val="1"/>
    <w:link w:val="37"/>
    <w:semiHidden/>
    <w:qFormat/>
    <w:uiPriority w:val="0"/>
    <w:pPr>
      <w:ind w:left="100" w:leftChars="2500"/>
    </w:pPr>
    <w:rPr>
      <w:rFonts w:ascii="仿宋体" w:eastAsia="仿宋体"/>
      <w:b/>
      <w:sz w:val="30"/>
    </w:rPr>
  </w:style>
  <w:style w:type="paragraph" w:styleId="15">
    <w:name w:val="Balloon Text"/>
    <w:basedOn w:val="1"/>
    <w:link w:val="36"/>
    <w:semiHidden/>
    <w:unhideWhenUsed/>
    <w:qFormat/>
    <w:uiPriority w:val="99"/>
    <w:pPr>
      <w:spacing w:line="240" w:lineRule="auto"/>
    </w:pPr>
    <w:rPr>
      <w:sz w:val="18"/>
      <w:szCs w:val="18"/>
    </w:rPr>
  </w:style>
  <w:style w:type="paragraph" w:styleId="16">
    <w:name w:val="footer"/>
    <w:basedOn w:val="1"/>
    <w:link w:val="28"/>
    <w:qFormat/>
    <w:uiPriority w:val="99"/>
    <w:pPr>
      <w:tabs>
        <w:tab w:val="center" w:pos="4153"/>
        <w:tab w:val="right" w:pos="8306"/>
      </w:tabs>
      <w:spacing w:line="240" w:lineRule="atLeast"/>
      <w:jc w:val="left"/>
    </w:pPr>
    <w:rPr>
      <w:sz w:val="18"/>
    </w:rPr>
  </w:style>
  <w:style w:type="paragraph" w:styleId="17">
    <w:name w:val="header"/>
    <w:basedOn w:val="1"/>
    <w:link w:val="54"/>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8">
    <w:name w:val="Body Text Indent 3"/>
    <w:basedOn w:val="1"/>
    <w:link w:val="38"/>
    <w:qFormat/>
    <w:uiPriority w:val="0"/>
    <w:pPr>
      <w:autoSpaceDE/>
      <w:autoSpaceDN/>
      <w:adjustRightInd/>
      <w:spacing w:line="360" w:lineRule="exact"/>
      <w:ind w:firstLine="425"/>
      <w:textAlignment w:val="auto"/>
    </w:pPr>
    <w:rPr>
      <w:rFonts w:ascii="宋体"/>
      <w:kern w:val="2"/>
    </w:rPr>
  </w:style>
  <w:style w:type="paragraph" w:styleId="19">
    <w:name w:val="Normal (Web)"/>
    <w:basedOn w:val="1"/>
    <w:semiHidden/>
    <w:unhideWhenUsed/>
    <w:qFormat/>
    <w:uiPriority w:val="99"/>
    <w:pPr>
      <w:widowControl/>
      <w:autoSpaceDE/>
      <w:autoSpaceDN/>
      <w:adjustRightInd/>
      <w:spacing w:before="100" w:beforeAutospacing="1" w:after="100" w:afterAutospacing="1" w:line="240" w:lineRule="auto"/>
      <w:jc w:val="left"/>
      <w:textAlignment w:val="auto"/>
    </w:pPr>
    <w:rPr>
      <w:rFonts w:ascii="宋体" w:hAnsi="宋体" w:cs="宋体"/>
      <w:sz w:val="24"/>
      <w:szCs w:val="24"/>
    </w:rPr>
  </w:style>
  <w:style w:type="paragraph" w:styleId="20">
    <w:name w:val="annotation subject"/>
    <w:basedOn w:val="10"/>
    <w:next w:val="10"/>
    <w:link w:val="46"/>
    <w:semiHidden/>
    <w:unhideWhenUsed/>
    <w:qFormat/>
    <w:uiPriority w:val="99"/>
    <w:rPr>
      <w:b/>
      <w:bCs/>
    </w:rPr>
  </w:style>
  <w:style w:type="table" w:styleId="22">
    <w:name w:val="Table Grid"/>
    <w:basedOn w:val="21"/>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22"/>
    <w:rPr>
      <w:b/>
    </w:rPr>
  </w:style>
  <w:style w:type="character" w:styleId="25">
    <w:name w:val="page number"/>
    <w:semiHidden/>
    <w:qFormat/>
    <w:uiPriority w:val="0"/>
    <w:rPr>
      <w:sz w:val="20"/>
    </w:rPr>
  </w:style>
  <w:style w:type="character" w:styleId="26">
    <w:name w:val="Hyperlink"/>
    <w:basedOn w:val="23"/>
    <w:unhideWhenUsed/>
    <w:qFormat/>
    <w:uiPriority w:val="99"/>
    <w:rPr>
      <w:color w:val="0000FF" w:themeColor="hyperlink"/>
      <w:u w:val="single"/>
      <w14:textFill>
        <w14:solidFill>
          <w14:schemeClr w14:val="hlink"/>
        </w14:solidFill>
      </w14:textFill>
    </w:rPr>
  </w:style>
  <w:style w:type="character" w:styleId="27">
    <w:name w:val="annotation reference"/>
    <w:basedOn w:val="23"/>
    <w:semiHidden/>
    <w:unhideWhenUsed/>
    <w:qFormat/>
    <w:uiPriority w:val="99"/>
    <w:rPr>
      <w:sz w:val="21"/>
      <w:szCs w:val="21"/>
    </w:rPr>
  </w:style>
  <w:style w:type="character" w:customStyle="1" w:styleId="28">
    <w:name w:val="页脚 字符"/>
    <w:basedOn w:val="23"/>
    <w:link w:val="16"/>
    <w:qFormat/>
    <w:uiPriority w:val="99"/>
    <w:rPr>
      <w:rFonts w:ascii="Times New Roman" w:hAnsi="Times New Roman" w:eastAsia="宋体" w:cs="Times New Roman"/>
      <w:kern w:val="0"/>
      <w:sz w:val="18"/>
      <w:szCs w:val="20"/>
    </w:rPr>
  </w:style>
  <w:style w:type="paragraph" w:customStyle="1" w:styleId="29">
    <w:name w:val="段"/>
    <w:link w:val="34"/>
    <w:qFormat/>
    <w:uiPriority w:val="0"/>
    <w:pPr>
      <w:autoSpaceDE w:val="0"/>
      <w:autoSpaceDN w:val="0"/>
      <w:ind w:firstLine="200"/>
      <w:jc w:val="both"/>
    </w:pPr>
    <w:rPr>
      <w:rFonts w:ascii="宋体" w:hAnsi="Times New Roman" w:eastAsia="宋体" w:cs="Times New Roman"/>
      <w:sz w:val="21"/>
      <w:lang w:val="en-US" w:eastAsia="zh-CN" w:bidi="ar-SA"/>
    </w:rPr>
  </w:style>
  <w:style w:type="paragraph" w:customStyle="1" w:styleId="30">
    <w:name w:val="一级条标题"/>
    <w:basedOn w:val="1"/>
    <w:next w:val="29"/>
    <w:link w:val="32"/>
    <w:qFormat/>
    <w:uiPriority w:val="0"/>
    <w:pPr>
      <w:widowControl/>
      <w:autoSpaceDE/>
      <w:autoSpaceDN/>
      <w:adjustRightInd/>
      <w:spacing w:line="240" w:lineRule="auto"/>
      <w:textAlignment w:val="auto"/>
      <w:outlineLvl w:val="2"/>
    </w:pPr>
    <w:rPr>
      <w:rFonts w:ascii="宋体" w:hAnsi="宋体"/>
    </w:rPr>
  </w:style>
  <w:style w:type="paragraph" w:customStyle="1" w:styleId="31">
    <w:name w:val="附录标识"/>
    <w:basedOn w:val="1"/>
    <w:link w:val="33"/>
    <w:qFormat/>
    <w:uiPriority w:val="0"/>
    <w:pPr>
      <w:widowControl/>
      <w:shd w:val="clear" w:color="FFFFFF" w:fill="FFFFFF"/>
      <w:tabs>
        <w:tab w:val="left" w:pos="360"/>
        <w:tab w:val="left" w:pos="6405"/>
      </w:tabs>
      <w:autoSpaceDE/>
      <w:autoSpaceDN/>
      <w:adjustRightInd/>
      <w:spacing w:before="640" w:after="200" w:line="240" w:lineRule="auto"/>
      <w:jc w:val="center"/>
      <w:textAlignment w:val="auto"/>
      <w:outlineLvl w:val="0"/>
    </w:pPr>
    <w:rPr>
      <w:rFonts w:ascii="黑体" w:eastAsia="黑体"/>
    </w:rPr>
  </w:style>
  <w:style w:type="character" w:customStyle="1" w:styleId="32">
    <w:name w:val="一级条标题 Char"/>
    <w:link w:val="30"/>
    <w:qFormat/>
    <w:uiPriority w:val="0"/>
    <w:rPr>
      <w:rFonts w:ascii="宋体" w:hAnsi="宋体" w:eastAsia="宋体" w:cs="Times New Roman"/>
      <w:kern w:val="0"/>
      <w:szCs w:val="20"/>
    </w:rPr>
  </w:style>
  <w:style w:type="character" w:customStyle="1" w:styleId="33">
    <w:name w:val="附录标识 Char"/>
    <w:link w:val="31"/>
    <w:qFormat/>
    <w:uiPriority w:val="0"/>
    <w:rPr>
      <w:rFonts w:ascii="黑体" w:hAnsi="Times New Roman" w:eastAsia="黑体" w:cs="Times New Roman"/>
      <w:kern w:val="0"/>
      <w:szCs w:val="20"/>
      <w:shd w:val="clear" w:color="FFFFFF" w:fill="FFFFFF"/>
    </w:rPr>
  </w:style>
  <w:style w:type="character" w:customStyle="1" w:styleId="34">
    <w:name w:val="段 Char"/>
    <w:link w:val="29"/>
    <w:qFormat/>
    <w:uiPriority w:val="0"/>
    <w:rPr>
      <w:rFonts w:ascii="宋体" w:hAnsi="Times New Roman" w:eastAsia="宋体" w:cs="Times New Roman"/>
      <w:kern w:val="0"/>
      <w:szCs w:val="20"/>
    </w:rPr>
  </w:style>
  <w:style w:type="character" w:customStyle="1" w:styleId="35">
    <w:name w:val="题注 字符"/>
    <w:link w:val="9"/>
    <w:qFormat/>
    <w:locked/>
    <w:uiPriority w:val="35"/>
    <w:rPr>
      <w:rFonts w:ascii="Times New Roman" w:hAnsi="Times New Roman" w:eastAsia="黑体" w:cs="Times New Roman"/>
      <w:kern w:val="15"/>
      <w:sz w:val="24"/>
      <w:szCs w:val="24"/>
      <w:lang w:val="zh-CN"/>
    </w:rPr>
  </w:style>
  <w:style w:type="character" w:customStyle="1" w:styleId="36">
    <w:name w:val="批注框文本 字符"/>
    <w:basedOn w:val="23"/>
    <w:link w:val="15"/>
    <w:semiHidden/>
    <w:qFormat/>
    <w:uiPriority w:val="99"/>
    <w:rPr>
      <w:rFonts w:ascii="Times New Roman" w:hAnsi="Times New Roman" w:eastAsia="宋体" w:cs="Times New Roman"/>
      <w:kern w:val="0"/>
      <w:sz w:val="18"/>
      <w:szCs w:val="18"/>
    </w:rPr>
  </w:style>
  <w:style w:type="character" w:customStyle="1" w:styleId="37">
    <w:name w:val="日期 字符"/>
    <w:basedOn w:val="23"/>
    <w:link w:val="14"/>
    <w:semiHidden/>
    <w:qFormat/>
    <w:uiPriority w:val="0"/>
    <w:rPr>
      <w:rFonts w:ascii="仿宋体" w:hAnsi="Times New Roman" w:eastAsia="仿宋体" w:cs="Times New Roman"/>
      <w:b/>
      <w:kern w:val="0"/>
      <w:sz w:val="30"/>
      <w:szCs w:val="20"/>
    </w:rPr>
  </w:style>
  <w:style w:type="character" w:customStyle="1" w:styleId="38">
    <w:name w:val="正文文本缩进 3 字符"/>
    <w:basedOn w:val="23"/>
    <w:link w:val="18"/>
    <w:qFormat/>
    <w:uiPriority w:val="0"/>
    <w:rPr>
      <w:rFonts w:ascii="宋体" w:hAnsi="Times New Roman" w:eastAsia="宋体" w:cs="Times New Roman"/>
      <w:szCs w:val="20"/>
    </w:rPr>
  </w:style>
  <w:style w:type="paragraph" w:styleId="39">
    <w:name w:val="List Paragraph"/>
    <w:basedOn w:val="1"/>
    <w:qFormat/>
    <w:uiPriority w:val="34"/>
    <w:pPr>
      <w:ind w:firstLine="420" w:firstLineChars="200"/>
    </w:pPr>
  </w:style>
  <w:style w:type="character" w:customStyle="1" w:styleId="40">
    <w:name w:val="标题 1 字符"/>
    <w:basedOn w:val="23"/>
    <w:link w:val="3"/>
    <w:qFormat/>
    <w:uiPriority w:val="0"/>
    <w:rPr>
      <w:rFonts w:ascii="Times New Roman" w:hAnsi="Times New Roman" w:eastAsia="黑体"/>
      <w:b/>
      <w:bCs/>
      <w:kern w:val="44"/>
      <w:sz w:val="30"/>
      <w:szCs w:val="30"/>
    </w:rPr>
  </w:style>
  <w:style w:type="paragraph" w:customStyle="1" w:styleId="41">
    <w:name w:val="TOC 标题1"/>
    <w:basedOn w:val="3"/>
    <w:next w:val="1"/>
    <w:semiHidden/>
    <w:unhideWhenUsed/>
    <w:qFormat/>
    <w:uiPriority w:val="39"/>
    <w:pPr>
      <w:widowControl/>
      <w:autoSpaceDE/>
      <w:autoSpaceDN/>
      <w:adjustRightInd/>
      <w:spacing w:before="480" w:line="276" w:lineRule="auto"/>
      <w:textAlignment w:val="auto"/>
      <w:outlineLvl w:val="9"/>
    </w:pPr>
    <w:rPr>
      <w:rFonts w:asciiTheme="majorHAnsi" w:hAnsiTheme="majorHAnsi" w:eastAsiaTheme="majorEastAsia" w:cstheme="majorBidi"/>
      <w:color w:val="376092" w:themeColor="accent1" w:themeShade="BF"/>
      <w:kern w:val="0"/>
      <w:sz w:val="28"/>
      <w:szCs w:val="28"/>
    </w:rPr>
  </w:style>
  <w:style w:type="paragraph" w:customStyle="1" w:styleId="42">
    <w:name w:val="Definition"/>
    <w:basedOn w:val="1"/>
    <w:next w:val="1"/>
    <w:qFormat/>
    <w:uiPriority w:val="0"/>
    <w:pPr>
      <w:widowControl/>
      <w:autoSpaceDE/>
      <w:autoSpaceDN/>
      <w:adjustRightInd/>
      <w:spacing w:after="240" w:line="230" w:lineRule="atLeast"/>
      <w:textAlignment w:val="auto"/>
    </w:pPr>
    <w:rPr>
      <w:rFonts w:ascii="Arial" w:hAnsi="Arial"/>
      <w:sz w:val="20"/>
      <w:lang w:val="en-GB"/>
    </w:rPr>
  </w:style>
  <w:style w:type="character" w:customStyle="1" w:styleId="43">
    <w:name w:val="标题 2 字符"/>
    <w:basedOn w:val="23"/>
    <w:link w:val="4"/>
    <w:qFormat/>
    <w:uiPriority w:val="0"/>
    <w:rPr>
      <w:rFonts w:ascii="Times New Roman" w:hAnsi="Times New Roman" w:eastAsia="黑体"/>
      <w:b/>
      <w:bCs/>
      <w:kern w:val="44"/>
      <w:sz w:val="28"/>
      <w:szCs w:val="30"/>
    </w:rPr>
  </w:style>
  <w:style w:type="character" w:customStyle="1" w:styleId="44">
    <w:name w:val="标题 3 字符"/>
    <w:basedOn w:val="23"/>
    <w:link w:val="5"/>
    <w:qFormat/>
    <w:uiPriority w:val="9"/>
    <w:rPr>
      <w:rFonts w:ascii="Times New Roman" w:hAnsi="Times New Roman" w:eastAsia="黑体"/>
      <w:b/>
      <w:bCs/>
      <w:kern w:val="44"/>
      <w:sz w:val="28"/>
      <w:szCs w:val="30"/>
    </w:rPr>
  </w:style>
  <w:style w:type="character" w:customStyle="1" w:styleId="45">
    <w:name w:val="批注文字 字符"/>
    <w:basedOn w:val="23"/>
    <w:link w:val="10"/>
    <w:semiHidden/>
    <w:qFormat/>
    <w:uiPriority w:val="99"/>
    <w:rPr>
      <w:rFonts w:ascii="Times New Roman" w:hAnsi="Times New Roman" w:eastAsia="宋体" w:cs="Times New Roman"/>
      <w:kern w:val="0"/>
      <w:szCs w:val="20"/>
    </w:rPr>
  </w:style>
  <w:style w:type="character" w:customStyle="1" w:styleId="46">
    <w:name w:val="批注主题 字符"/>
    <w:basedOn w:val="45"/>
    <w:link w:val="20"/>
    <w:semiHidden/>
    <w:qFormat/>
    <w:uiPriority w:val="99"/>
    <w:rPr>
      <w:rFonts w:ascii="Times New Roman" w:hAnsi="Times New Roman" w:eastAsia="宋体" w:cs="Times New Roman"/>
      <w:b/>
      <w:bCs/>
      <w:kern w:val="0"/>
      <w:szCs w:val="20"/>
    </w:rPr>
  </w:style>
  <w:style w:type="paragraph" w:customStyle="1" w:styleId="47">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48">
    <w:name w:val="fontstyle01"/>
    <w:basedOn w:val="23"/>
    <w:qFormat/>
    <w:uiPriority w:val="0"/>
    <w:rPr>
      <w:rFonts w:hint="default" w:ascii="Times New Roman" w:hAnsi="Times New Roman" w:cs="Times New Roman"/>
      <w:color w:val="000000"/>
      <w:sz w:val="22"/>
      <w:szCs w:val="22"/>
    </w:rPr>
  </w:style>
  <w:style w:type="character" w:customStyle="1" w:styleId="49">
    <w:name w:val="fontstyle21"/>
    <w:basedOn w:val="23"/>
    <w:qFormat/>
    <w:uiPriority w:val="0"/>
    <w:rPr>
      <w:rFonts w:hint="eastAsia" w:ascii="宋体" w:hAnsi="宋体" w:eastAsia="宋体"/>
      <w:color w:val="000000"/>
      <w:sz w:val="22"/>
      <w:szCs w:val="22"/>
    </w:rPr>
  </w:style>
  <w:style w:type="paragraph" w:styleId="50">
    <w:name w:val="No Spacing"/>
    <w:qFormat/>
    <w:uiPriority w:val="1"/>
    <w:pPr>
      <w:widowControl w:val="0"/>
      <w:spacing w:line="320" w:lineRule="exact"/>
      <w:ind w:firstLine="200" w:firstLineChars="200"/>
      <w:jc w:val="both"/>
    </w:pPr>
    <w:rPr>
      <w:rFonts w:ascii="Times New Roman" w:hAnsi="Times New Roman" w:eastAsia="宋体" w:cs="Times New Roman"/>
      <w:kern w:val="2"/>
      <w:sz w:val="21"/>
      <w:lang w:val="en-US" w:eastAsia="zh-CN" w:bidi="ar-SA"/>
    </w:rPr>
  </w:style>
  <w:style w:type="character" w:customStyle="1" w:styleId="51">
    <w:name w:val="标题 4 字符"/>
    <w:basedOn w:val="23"/>
    <w:link w:val="6"/>
    <w:qFormat/>
    <w:uiPriority w:val="9"/>
    <w:rPr>
      <w:rFonts w:ascii="Times New Roman" w:hAnsi="Times New Roman" w:eastAsia="黑体"/>
      <w:bCs/>
      <w:kern w:val="44"/>
      <w:sz w:val="24"/>
      <w:szCs w:val="30"/>
    </w:rPr>
  </w:style>
  <w:style w:type="paragraph" w:customStyle="1" w:styleId="52">
    <w:name w:val="正文2"/>
    <w:basedOn w:val="1"/>
    <w:link w:val="53"/>
    <w:qFormat/>
    <w:uiPriority w:val="0"/>
    <w:pPr>
      <w:autoSpaceDE/>
      <w:autoSpaceDN/>
      <w:adjustRightInd/>
      <w:spacing w:line="320" w:lineRule="exact"/>
      <w:ind w:firstLine="200" w:firstLineChars="200"/>
      <w:textAlignment w:val="auto"/>
    </w:pPr>
    <w:rPr>
      <w:kern w:val="2"/>
    </w:rPr>
  </w:style>
  <w:style w:type="character" w:customStyle="1" w:styleId="53">
    <w:name w:val="正文2 Char"/>
    <w:basedOn w:val="23"/>
    <w:link w:val="52"/>
    <w:qFormat/>
    <w:uiPriority w:val="0"/>
    <w:rPr>
      <w:rFonts w:ascii="Times New Roman" w:hAnsi="Times New Roman" w:eastAsia="宋体" w:cs="Times New Roman"/>
      <w:szCs w:val="20"/>
    </w:rPr>
  </w:style>
  <w:style w:type="character" w:customStyle="1" w:styleId="54">
    <w:name w:val="页眉 字符"/>
    <w:basedOn w:val="23"/>
    <w:link w:val="17"/>
    <w:qFormat/>
    <w:uiPriority w:val="99"/>
    <w:rPr>
      <w:rFonts w:ascii="Times New Roman" w:hAnsi="Times New Roman" w:eastAsia="宋体" w:cs="Times New Roman"/>
      <w:kern w:val="0"/>
      <w:sz w:val="18"/>
      <w:szCs w:val="18"/>
    </w:rPr>
  </w:style>
  <w:style w:type="paragraph" w:customStyle="1" w:styleId="55">
    <w:name w:val="修订1"/>
    <w:hidden/>
    <w:unhideWhenUsed/>
    <w:qFormat/>
    <w:uiPriority w:val="99"/>
    <w:rPr>
      <w:rFonts w:ascii="Times New Roman" w:hAnsi="Times New Roman" w:eastAsia="宋体" w:cs="Times New Roman"/>
      <w:sz w:val="21"/>
      <w:lang w:val="en-US" w:eastAsia="zh-CN" w:bidi="ar-SA"/>
    </w:rPr>
  </w:style>
  <w:style w:type="paragraph" w:customStyle="1" w:styleId="56">
    <w:name w:val="表格式"/>
    <w:qFormat/>
    <w:uiPriority w:val="0"/>
    <w:pPr>
      <w:spacing w:line="360" w:lineRule="exact"/>
      <w:jc w:val="center"/>
    </w:pPr>
    <w:rPr>
      <w:rFonts w:ascii="Times New Roman" w:hAnsi="Times New Roman" w:eastAsia="宋体" w:cs="Times New Roman"/>
      <w:color w:val="000000"/>
      <w:sz w:val="18"/>
      <w:szCs w:val="22"/>
      <w:lang w:val="en-US" w:eastAsia="zh-CN" w:bidi="ar-SA"/>
    </w:rPr>
  </w:style>
  <w:style w:type="paragraph" w:customStyle="1" w:styleId="5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58">
    <w:name w:val="标准文件_二级无标题"/>
    <w:basedOn w:val="59"/>
    <w:qFormat/>
    <w:uiPriority w:val="0"/>
    <w:pPr>
      <w:spacing w:beforeLines="0" w:afterLines="0"/>
      <w:ind w:left="1418"/>
      <w:outlineLvl w:val="9"/>
    </w:pPr>
    <w:rPr>
      <w:rFonts w:ascii="宋体" w:eastAsia="宋体"/>
    </w:rPr>
  </w:style>
  <w:style w:type="paragraph" w:customStyle="1" w:styleId="59">
    <w:name w:val="标准文件_二级条标题"/>
    <w:next w:val="60"/>
    <w:qFormat/>
    <w:uiPriority w:val="0"/>
    <w:pPr>
      <w:widowControl w:val="0"/>
      <w:numPr>
        <w:ilvl w:val="3"/>
        <w:numId w:val="5"/>
      </w:numPr>
      <w:spacing w:beforeLines="50" w:afterLines="50"/>
      <w:ind w:left="142"/>
      <w:jc w:val="both"/>
      <w:outlineLvl w:val="2"/>
    </w:pPr>
    <w:rPr>
      <w:rFonts w:ascii="黑体" w:hAnsi="Times New Roman" w:eastAsia="黑体" w:cs="Times New Roman"/>
      <w:sz w:val="21"/>
      <w:lang w:val="en-US" w:eastAsia="zh-CN" w:bidi="ar-SA"/>
    </w:rPr>
  </w:style>
  <w:style w:type="paragraph" w:customStyle="1" w:styleId="60">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3ACFD-F599-4016-B480-C3F090314633}">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15351</Words>
  <Characters>16718</Characters>
  <Lines>97</Lines>
  <Paragraphs>27</Paragraphs>
  <TotalTime>1</TotalTime>
  <ScaleCrop>false</ScaleCrop>
  <LinksUpToDate>false</LinksUpToDate>
  <CharactersWithSpaces>16931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2023-10-12T12:09:00Z</dcterms:created>
  <dc:creator>yaoym</dc:creator>
  <dc:description>NE.Ref</dc:description>
  <cp:lastModifiedBy>Lenovo</cp:lastModifiedBy>
  <cp:lastPrinted>2018-11-12T01:16:00Z</cp:lastPrinted>
  <dcterms:modified xsi:type="dcterms:W3CDTF">2024-11-08T03:08:57Z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ABF7A8E60EFA4740A0E4D5442EE67F6E</vt:lpwstr>
  </property>
</Properties>
</file>